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71" w:rsidRPr="00B15FA8" w:rsidRDefault="00AC24CC">
      <w:pPr>
        <w:snapToGrid w:val="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466509" wp14:editId="5B9ED19A">
                <wp:simplePos x="0" y="0"/>
                <wp:positionH relativeFrom="column">
                  <wp:posOffset>1270</wp:posOffset>
                </wp:positionH>
                <wp:positionV relativeFrom="paragraph">
                  <wp:posOffset>6985</wp:posOffset>
                </wp:positionV>
                <wp:extent cx="6030595" cy="222885"/>
                <wp:effectExtent l="0" t="0" r="8255" b="5715"/>
                <wp:wrapTight wrapText="bothSides">
                  <wp:wrapPolygon edited="0">
                    <wp:start x="0" y="0"/>
                    <wp:lineTo x="0" y="20308"/>
                    <wp:lineTo x="21561" y="20308"/>
                    <wp:lineTo x="21561" y="0"/>
                    <wp:lineTo x="0" y="0"/>
                  </wp:wrapPolygon>
                </wp:wrapTight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222885"/>
                          <a:chOff x="2083" y="2516"/>
                          <a:chExt cx="9497" cy="351"/>
                        </a:xfrm>
                      </wpg:grpSpPr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83" y="2516"/>
                            <a:ext cx="6803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50" w:rsidRPr="00C5080D" w:rsidRDefault="00596ECF" w:rsidP="007A2571">
                              <w:pPr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28"/>
                                </w:rPr>
                                <w:t xml:space="preserve">BASIN </w:t>
                              </w:r>
                              <w:r w:rsidR="0091263E"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28"/>
                                </w:rPr>
                                <w:t>BÜLTENİ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03" y="2516"/>
                            <a:ext cx="247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50" w:rsidRPr="00C5080D" w:rsidRDefault="0003340E" w:rsidP="007A2571">
                              <w:pPr>
                                <w:jc w:val="right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</w:rPr>
                                <w:t xml:space="preserve">12 ŞUBAT 2016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66509" id="Group 13" o:spid="_x0000_s1026" style="position:absolute;margin-left:.1pt;margin-top:.55pt;width:474.85pt;height:17.55pt;z-index:-251657216" coordorigin="2083,2516" coordsize="949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2083;top:2516;width:680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D5150" w:rsidRPr="00C5080D" w:rsidRDefault="00596ECF" w:rsidP="007A2571">
                        <w:pPr>
                          <w:rPr>
                            <w:rFonts w:ascii="Arial Narrow" w:hAnsi="Arial Narrow"/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00" w:themeColor="text1"/>
                            <w:sz w:val="28"/>
                          </w:rPr>
                          <w:t xml:space="preserve">BASIN </w:t>
                        </w:r>
                        <w:r w:rsidR="0091263E">
                          <w:rPr>
                            <w:rFonts w:ascii="Arial Narrow" w:hAnsi="Arial Narrow"/>
                            <w:b/>
                            <w:color w:val="000000" w:themeColor="text1"/>
                            <w:sz w:val="28"/>
                          </w:rPr>
                          <w:t>BÜLTENİ</w:t>
                        </w:r>
                      </w:p>
                    </w:txbxContent>
                  </v:textbox>
                </v:shape>
                <v:shape id="Text Box 12" o:spid="_x0000_s1028" type="#_x0000_t202" style="position:absolute;left:9103;top:2516;width:24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D5150" w:rsidRPr="00C5080D" w:rsidRDefault="0003340E" w:rsidP="007A2571">
                        <w:pPr>
                          <w:jc w:val="right"/>
                          <w:rPr>
                            <w:rFonts w:ascii="Arial Narrow" w:hAnsi="Arial Narrow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</w:rPr>
                          <w:t xml:space="preserve">12 ŞUBAT 2016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dt>
      <w:sdtPr>
        <w:rPr>
          <w:rFonts w:ascii="Arial" w:hAnsi="Arial" w:cs="Arial"/>
          <w:caps w:val="0"/>
          <w:color w:val="000000" w:themeColor="text1"/>
          <w:sz w:val="24"/>
        </w:rPr>
        <w:id w:val="24288126"/>
        <w:docPartObj>
          <w:docPartGallery w:val="Cover Pages"/>
          <w:docPartUnique/>
        </w:docPartObj>
      </w:sdtPr>
      <w:sdtEndPr>
        <w:rPr>
          <w:caps/>
          <w:color w:val="FFFFFF"/>
          <w:sz w:val="16"/>
        </w:rPr>
      </w:sdtEndPr>
      <w:sdtContent>
        <w:p w:rsidR="007A2571" w:rsidRPr="00B15FA8" w:rsidRDefault="007A2571">
          <w:pPr>
            <w:snapToGrid w:val="0"/>
            <w:rPr>
              <w:rFonts w:ascii="Arial" w:hAnsi="Arial" w:cs="Arial"/>
            </w:rPr>
          </w:pPr>
        </w:p>
        <w:p w:rsidR="007A2571" w:rsidRPr="00B15FA8" w:rsidRDefault="00D34E21" w:rsidP="00715393">
          <w:pPr>
            <w:pStyle w:val="PRESSRELEASETITLE"/>
            <w:jc w:val="center"/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2015 </w:t>
          </w:r>
          <w:r w:rsidR="008014FF">
            <w:rPr>
              <w:rFonts w:ascii="Arial" w:hAnsi="Arial"/>
            </w:rPr>
            <w:t>Finansal</w:t>
          </w:r>
          <w:r>
            <w:rPr>
              <w:rFonts w:ascii="Arial" w:hAnsi="Arial"/>
            </w:rPr>
            <w:t xml:space="preserve"> SONUÇLAR</w:t>
          </w:r>
          <w:r w:rsidR="008014FF">
            <w:rPr>
              <w:rFonts w:ascii="Arial" w:hAnsi="Arial"/>
            </w:rPr>
            <w:t>ı</w:t>
          </w:r>
        </w:p>
        <w:p w:rsidR="00FD4AC4" w:rsidRPr="00B15FA8" w:rsidRDefault="00FD4AC4" w:rsidP="00FD4AC4">
          <w:pPr>
            <w:rPr>
              <w:rFonts w:ascii="Arial" w:hAnsi="Arial" w:cs="Arial"/>
            </w:rPr>
          </w:pPr>
        </w:p>
        <w:p w:rsidR="00715393" w:rsidRPr="00B15FA8" w:rsidRDefault="00715393" w:rsidP="00715393">
          <w:pPr>
            <w:rPr>
              <w:rFonts w:ascii="Arial" w:hAnsi="Arial" w:cs="Arial"/>
            </w:rPr>
          </w:pPr>
        </w:p>
        <w:p w:rsidR="007A2571" w:rsidRPr="00B15FA8" w:rsidRDefault="007A2571" w:rsidP="007A2571">
          <w:pPr>
            <w:pStyle w:val="PRESSRELEASETITLE"/>
            <w:rPr>
              <w:rFonts w:ascii="Arial" w:hAnsi="Arial" w:cs="Arial"/>
              <w:b w:val="0"/>
              <w:sz w:val="24"/>
            </w:rPr>
          </w:pPr>
        </w:p>
        <w:p w:rsidR="00715393" w:rsidRPr="00B15FA8" w:rsidRDefault="00B476F6" w:rsidP="00FD4AC4">
          <w:pPr>
            <w:spacing w:after="100" w:afterAutospacing="1"/>
            <w:jc w:val="center"/>
            <w:textAlignment w:val="top"/>
            <w:outlineLvl w:val="0"/>
            <w:rPr>
              <w:rFonts w:ascii="Arial" w:eastAsia="Times New Roman" w:hAnsi="Arial" w:cs="Arial"/>
              <w:b/>
              <w:bCs/>
              <w:caps w:val="0"/>
              <w:color w:val="000000"/>
              <w:spacing w:val="0"/>
              <w:kern w:val="36"/>
              <w:sz w:val="32"/>
              <w:szCs w:val="32"/>
            </w:rPr>
          </w:pPr>
          <w:r>
            <w:rPr>
              <w:rFonts w:ascii="Arial" w:hAnsi="Arial"/>
              <w:b/>
              <w:caps w:val="0"/>
              <w:color w:val="000000"/>
              <w:spacing w:val="0"/>
              <w:kern w:val="36"/>
              <w:sz w:val="32"/>
            </w:rPr>
            <w:t xml:space="preserve">Yüzde </w:t>
          </w:r>
          <w:r w:rsidR="00D47205">
            <w:rPr>
              <w:rFonts w:ascii="Arial" w:hAnsi="Arial"/>
              <w:b/>
              <w:caps w:val="0"/>
              <w:color w:val="000000"/>
              <w:spacing w:val="0"/>
              <w:kern w:val="36"/>
              <w:sz w:val="32"/>
            </w:rPr>
            <w:t>5’lik Grup faaliyet k</w:t>
          </w:r>
          <w:r w:rsidR="00943058">
            <w:rPr>
              <w:rFonts w:ascii="Arial" w:hAnsi="Arial"/>
              <w:b/>
              <w:caps w:val="0"/>
              <w:color w:val="000000"/>
              <w:spacing w:val="0"/>
              <w:kern w:val="36"/>
              <w:sz w:val="32"/>
            </w:rPr>
            <w:t>â</w:t>
          </w:r>
          <w:r>
            <w:rPr>
              <w:rFonts w:ascii="Arial" w:hAnsi="Arial"/>
              <w:b/>
              <w:caps w:val="0"/>
              <w:color w:val="000000"/>
              <w:spacing w:val="0"/>
              <w:kern w:val="36"/>
              <w:sz w:val="32"/>
            </w:rPr>
            <w:t>rına hedeflenenden önce ulaşıldı</w:t>
          </w:r>
        </w:p>
        <w:p w:rsidR="00FD4AC4" w:rsidRPr="00B15FA8" w:rsidRDefault="00FD4AC4" w:rsidP="00FD4AC4">
          <w:pPr>
            <w:spacing w:after="100" w:afterAutospacing="1"/>
            <w:jc w:val="center"/>
            <w:textAlignment w:val="top"/>
            <w:outlineLvl w:val="0"/>
            <w:rPr>
              <w:rFonts w:ascii="Arial" w:eastAsia="Times New Roman" w:hAnsi="Arial" w:cs="Arial"/>
              <w:b/>
              <w:bCs/>
              <w:caps w:val="0"/>
              <w:color w:val="000000"/>
              <w:spacing w:val="0"/>
              <w:kern w:val="36"/>
              <w:sz w:val="2"/>
              <w:szCs w:val="32"/>
            </w:rPr>
          </w:pPr>
        </w:p>
        <w:p w:rsidR="00A311B6" w:rsidRDefault="00715393" w:rsidP="00E06846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Grup </w:t>
          </w:r>
          <w:r w:rsidR="00B476F6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cirosu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,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yüzde 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10,4 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artarak 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45 milyar 327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milyon </w:t>
          </w:r>
          <w:proofErr w:type="spellStart"/>
          <w:r w:rsidR="008500C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Avro’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ya</w:t>
          </w:r>
          <w:proofErr w:type="spellEnd"/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çık</w:t>
          </w:r>
          <w:r w:rsidR="008014F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tı</w:t>
          </w:r>
        </w:p>
        <w:p w:rsidR="0003374D" w:rsidRPr="0003374D" w:rsidRDefault="004D41BC" w:rsidP="0003374D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Otomobil satışları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,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2015 yılında yüzde 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3,3 </w:t>
          </w:r>
          <w:r w:rsidR="0003374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artarak 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2</w:t>
          </w:r>
          <w:r w:rsidR="00D47205" w:rsidRPr="00715393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,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 xml:space="preserve">8 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milyon aded</w:t>
          </w:r>
          <w:r w:rsidR="0003374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e ulaş</w:t>
          </w:r>
          <w:r w:rsidR="00B476F6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tı</w:t>
          </w:r>
        </w:p>
        <w:p w:rsidR="00715393" w:rsidRPr="00B15FA8" w:rsidRDefault="00B476F6" w:rsidP="00E06846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Grup</w:t>
          </w:r>
          <w:r w:rsidR="00057B80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faaliyet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 w:rsidR="00057B80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rı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,</w:t>
          </w:r>
          <w:r w:rsidR="00057B80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yüzde 44,2’lik artışla 2 milyar 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320</w:t>
          </w:r>
          <w:r w:rsidR="00057B80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milyon 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Avro</w:t>
          </w:r>
          <w:r w:rsidR="00057B80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ol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du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;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bu da 2014 yılındaki 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cironun 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yüzde 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3,9’una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karşı yüzde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5,1 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ciroyu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temsil ediyor.</w:t>
          </w:r>
        </w:p>
        <w:p w:rsidR="00715393" w:rsidRPr="00B15FA8" w:rsidRDefault="00057B80" w:rsidP="00715393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Otomo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bil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faaliyet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rı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,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yüzde 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74,4 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artarak 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1 milyar 496 milyon Avro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ol</w:t>
          </w:r>
          <w:r w:rsidR="004D41BC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du (2014 yılındaki yüzde 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2,2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otomo</w:t>
          </w:r>
          <w:r w:rsidR="00D47205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bil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rına karşı 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yüzde 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3</w:t>
          </w:r>
          <w:r w:rsidR="00D47205" w:rsidRPr="00715393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,</w:t>
          </w:r>
          <w:r w:rsidR="00D47205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5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)</w:t>
          </w:r>
        </w:p>
        <w:p w:rsidR="007011EA" w:rsidRPr="00B15FA8" w:rsidRDefault="00057B80" w:rsidP="00715393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Grubun 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işletme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rı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,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76571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2 milyar 121 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milyon </w:t>
          </w:r>
          <w:r w:rsidR="0076571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Avro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ol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du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(</w:t>
          </w:r>
          <w:r w:rsidR="0076571B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>+ % 91,9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)</w:t>
          </w:r>
        </w:p>
        <w:p w:rsidR="00715393" w:rsidRPr="00B15FA8" w:rsidRDefault="007011EA" w:rsidP="003678AF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proofErr w:type="spellStart"/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AvtoVAZ'ın</w:t>
          </w:r>
          <w:proofErr w:type="spellEnd"/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olumsuz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etkisine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rağmen, bağlı şirketlerin sonuçları </w:t>
          </w:r>
          <w:r w:rsidR="0076571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1 milyar 371 milyon </w:t>
          </w:r>
          <w:proofErr w:type="spellStart"/>
          <w:r w:rsidR="008500C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Avro’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ya</w:t>
          </w:r>
          <w:proofErr w:type="spellEnd"/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denk gel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di (2014 yılındaki 1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mily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ar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3678AF" w:rsidRP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362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milyon</w:t>
          </w:r>
          <w:r w:rsidR="003678AF" w:rsidRP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proofErr w:type="spellStart"/>
          <w:r w:rsidR="008500C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Avro’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ya</w:t>
          </w:r>
          <w:proofErr w:type="spellEnd"/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karşı) </w:t>
          </w:r>
        </w:p>
        <w:p w:rsidR="00715393" w:rsidRPr="00B15FA8" w:rsidRDefault="00943058" w:rsidP="00715393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Net k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 w:rsidR="00613539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r,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66176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2014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yılındaki 1 milyar </w:t>
          </w:r>
          <w:r w:rsidR="0066176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998 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milyon</w:t>
          </w:r>
          <w:r w:rsidR="0076571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proofErr w:type="spellStart"/>
          <w:r w:rsidR="008500CB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Avro’</w:t>
          </w:r>
          <w:r w:rsidR="00276063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ya</w:t>
          </w:r>
          <w:proofErr w:type="spellEnd"/>
          <w:r w:rsidR="0066176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karşı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lık</w:t>
          </w:r>
          <w:r w:rsidR="0066176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,</w:t>
          </w:r>
          <w:r w:rsidR="003678AF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2015 yılında</w:t>
          </w:r>
          <w:r w:rsidR="0066176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 </w:t>
          </w:r>
          <w:r w:rsidR="0076571B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 xml:space="preserve">2 milyar 960 milyon Avro </w:t>
          </w:r>
          <w:r w:rsidR="00613539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  <w:lang w:eastAsia="fr-FR"/>
            </w:rPr>
            <w:t xml:space="preserve">(+ %48,1) </w:t>
          </w:r>
          <w:r w:rsidR="0066176D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olmuştur</w:t>
          </w:r>
        </w:p>
        <w:p w:rsidR="0094400C" w:rsidRPr="00B15FA8" w:rsidRDefault="003678AF" w:rsidP="004D188C">
          <w:pPr>
            <w:numPr>
              <w:ilvl w:val="0"/>
              <w:numId w:val="1"/>
            </w:numPr>
            <w:spacing w:line="320" w:lineRule="exact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 xml:space="preserve">Otomobilde İşletme Nakit Fazlası </w:t>
          </w:r>
          <w:r w:rsidR="0076571B" w:rsidRPr="001965F4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  <w:t xml:space="preserve">1 </w:t>
          </w:r>
          <w:r w:rsidR="0076571B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  <w:t xml:space="preserve">milyar </w:t>
          </w:r>
          <w:r w:rsidR="0076571B" w:rsidRPr="001E06C9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  <w:t>33</w:t>
          </w:r>
          <w:r w:rsidR="0076571B"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2"/>
              <w:szCs w:val="22"/>
            </w:rPr>
            <w:t xml:space="preserve"> milyon Avro </w:t>
          </w:r>
          <w:r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oldu.</w:t>
          </w:r>
        </w:p>
        <w:p w:rsidR="00715393" w:rsidRPr="00B15FA8" w:rsidRDefault="00715393" w:rsidP="0094400C">
          <w:pPr>
            <w:spacing w:line="320" w:lineRule="exact"/>
            <w:ind w:left="720"/>
            <w:jc w:val="both"/>
            <w:rPr>
              <w:rFonts w:ascii="Arial" w:eastAsia="Times New Roman" w:hAnsi="Arial" w:cs="Arial"/>
              <w:b/>
              <w:bCs/>
              <w:caps w:val="0"/>
              <w:color w:val="auto"/>
              <w:spacing w:val="0"/>
              <w:sz w:val="20"/>
            </w:rPr>
          </w:pPr>
        </w:p>
        <w:p w:rsidR="00715393" w:rsidRPr="00B15FA8" w:rsidRDefault="00F15917" w:rsidP="005B4920">
          <w:pPr>
            <w:spacing w:before="240" w:after="225"/>
            <w:jc w:val="both"/>
            <w:textAlignment w:val="top"/>
            <w:rPr>
              <w:rFonts w:ascii="Arial" w:eastAsia="Times New Roman" w:hAnsi="Arial" w:cs="Arial"/>
              <w:b/>
              <w:bCs/>
              <w:i/>
              <w:iCs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Renault Başkanı Carlos </w:t>
          </w:r>
          <w:proofErr w:type="spellStart"/>
          <w:r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Ghosn</w:t>
          </w:r>
          <w:proofErr w:type="spellEnd"/>
          <w:r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: 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"2015 sonuçları, "</w:t>
          </w:r>
          <w:r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D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rive </w:t>
          </w:r>
          <w:proofErr w:type="spellStart"/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the</w:t>
          </w:r>
          <w:proofErr w:type="spellEnd"/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 </w:t>
          </w:r>
          <w:proofErr w:type="spellStart"/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Change</w:t>
          </w:r>
          <w:proofErr w:type="spellEnd"/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" planımızın hedeflerine ulaşma yolunda kararlı bir adımı temsil e</w:t>
          </w:r>
          <w:r w:rsidR="00550D2F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diyor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. Bütün çalışanlarımızın </w:t>
          </w:r>
          <w:r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hedeflerimize ulaşmak için gösterdikleri çabalar 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ve araçlarımızın başarısı, </w:t>
          </w:r>
          <w:r w:rsidR="00943058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Grup faaliyet k</w:t>
          </w:r>
          <w:r w:rsidR="00943058" w:rsidRPr="00943058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â</w:t>
          </w:r>
          <w:r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rı 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hedefimize beklenenden daha erken ulaşmamıza olanak sağla</w:t>
          </w:r>
          <w:r w:rsidR="00550D2F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dı</w:t>
          </w:r>
          <w:r w:rsidR="00AD6E91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. Şimdi yapmamız gereken, yüzde </w:t>
          </w:r>
          <w:r w:rsidR="009272BD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5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'</w:t>
          </w:r>
          <w:r w:rsidR="009272BD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ten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 fazla bir </w:t>
          </w:r>
          <w:r w:rsidR="00AD6E91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k</w:t>
          </w:r>
          <w:r w:rsidR="00943058" w:rsidRPr="00943058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â</w:t>
          </w:r>
          <w:r w:rsidR="00AD6E91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rı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 sürdürürken </w:t>
          </w:r>
          <w:r w:rsidR="00AD6E91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 xml:space="preserve">ciro </w:t>
          </w:r>
          <w:r w:rsidR="005B4920">
            <w:rPr>
              <w:rFonts w:ascii="Arial" w:hAnsi="Arial"/>
              <w:b/>
              <w:i/>
              <w:caps w:val="0"/>
              <w:color w:val="auto"/>
              <w:spacing w:val="0"/>
              <w:sz w:val="20"/>
            </w:rPr>
            <w:t>hedefimize ulaşmak"</w:t>
          </w:r>
        </w:p>
        <w:p w:rsidR="00715393" w:rsidRPr="00B15FA8" w:rsidRDefault="00FE2158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2015 yılında, </w:t>
          </w: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Grup </w:t>
          </w:r>
          <w:r w:rsidR="00550D2F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cirosu</w:t>
          </w:r>
          <w:r w:rsidR="00550D2F">
            <w:rPr>
              <w:rFonts w:ascii="Arial" w:hAnsi="Arial"/>
              <w:caps w:val="0"/>
              <w:color w:val="auto"/>
              <w:spacing w:val="0"/>
              <w:sz w:val="20"/>
            </w:rPr>
            <w:t>, 2014 yılındakine göre yüzde</w:t>
          </w:r>
          <w:r w:rsidR="006B700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10,4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artarak </w:t>
          </w:r>
          <w:r w:rsidR="006B7000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45 milyar </w:t>
          </w:r>
          <w:r w:rsidR="0027606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327</w:t>
          </w:r>
          <w:r w:rsidR="00276063" w:rsidRPr="0071539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milyon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proofErr w:type="spellStart"/>
          <w:r w:rsidR="008500CB">
            <w:rPr>
              <w:rFonts w:ascii="Arial" w:hAnsi="Arial"/>
              <w:caps w:val="0"/>
              <w:color w:val="auto"/>
              <w:spacing w:val="0"/>
              <w:sz w:val="20"/>
            </w:rPr>
            <w:t>Avro’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ya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ulaş</w:t>
          </w:r>
          <w:r w:rsidR="006B700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tı. Sabit </w:t>
          </w:r>
          <w:r w:rsidR="00550D2F">
            <w:rPr>
              <w:rFonts w:ascii="Arial" w:hAnsi="Arial"/>
              <w:caps w:val="0"/>
              <w:color w:val="auto"/>
              <w:spacing w:val="0"/>
              <w:sz w:val="20"/>
            </w:rPr>
            <w:t>döviz kurları ile ciro yüzde</w:t>
          </w:r>
          <w:r w:rsidR="006B700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6B7000" w:rsidRPr="0083644B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10,6</w:t>
          </w:r>
          <w:r w:rsidR="006B7000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 </w:t>
          </w:r>
          <w:r w:rsidR="00550D2F">
            <w:rPr>
              <w:rFonts w:ascii="Arial" w:hAnsi="Arial"/>
              <w:caps w:val="0"/>
              <w:color w:val="auto"/>
              <w:spacing w:val="0"/>
              <w:sz w:val="20"/>
            </w:rPr>
            <w:t>oranında artış gösterdi.</w:t>
          </w:r>
        </w:p>
        <w:p w:rsidR="00325D63" w:rsidRPr="00B15FA8" w:rsidRDefault="002F4AB6" w:rsidP="00FE2158">
          <w:pPr>
            <w:pStyle w:val="NormalWeb"/>
            <w:jc w:val="both"/>
            <w:textAlignment w:val="top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/>
              <w:b/>
              <w:sz w:val="20"/>
            </w:rPr>
            <w:t>Otomobil</w:t>
          </w:r>
          <w:r w:rsidR="00FE2158">
            <w:rPr>
              <w:rFonts w:ascii="Arial" w:hAnsi="Arial"/>
              <w:sz w:val="20"/>
            </w:rPr>
            <w:t xml:space="preserve"> </w:t>
          </w:r>
          <w:r w:rsidR="006B7000" w:rsidRPr="006B7000">
            <w:rPr>
              <w:rFonts w:ascii="Arial" w:hAnsi="Arial"/>
              <w:b/>
              <w:sz w:val="20"/>
            </w:rPr>
            <w:t>biriminin</w:t>
          </w:r>
          <w:r w:rsidR="006B7000">
            <w:rPr>
              <w:rFonts w:ascii="Arial" w:hAnsi="Arial"/>
              <w:sz w:val="20"/>
            </w:rPr>
            <w:t xml:space="preserve"> ciroya katkısı,</w:t>
          </w:r>
          <w:r w:rsidR="00FE2158">
            <w:rPr>
              <w:rFonts w:ascii="Arial" w:hAnsi="Arial"/>
              <w:sz w:val="20"/>
            </w:rPr>
            <w:t xml:space="preserve"> Grubun markalarının hac</w:t>
          </w:r>
          <w:r w:rsidR="006B7000">
            <w:rPr>
              <w:rFonts w:ascii="Arial" w:hAnsi="Arial"/>
              <w:sz w:val="20"/>
            </w:rPr>
            <w:t>i</w:t>
          </w:r>
          <w:r w:rsidR="00FE2158">
            <w:rPr>
              <w:rFonts w:ascii="Arial" w:hAnsi="Arial"/>
              <w:sz w:val="20"/>
            </w:rPr>
            <w:t>m</w:t>
          </w:r>
          <w:r>
            <w:rPr>
              <w:rFonts w:ascii="Arial" w:hAnsi="Arial"/>
              <w:sz w:val="20"/>
            </w:rPr>
            <w:t>lerinin</w:t>
          </w:r>
          <w:r w:rsidR="00FE2158">
            <w:rPr>
              <w:rFonts w:ascii="Arial" w:hAnsi="Arial"/>
              <w:sz w:val="20"/>
            </w:rPr>
            <w:t xml:space="preserve"> </w:t>
          </w:r>
          <w:r w:rsidR="006B7000">
            <w:rPr>
              <w:rFonts w:ascii="Arial" w:hAnsi="Arial"/>
              <w:sz w:val="20"/>
            </w:rPr>
            <w:t xml:space="preserve">artışı </w:t>
          </w:r>
          <w:r w:rsidR="00FE2158">
            <w:rPr>
              <w:rFonts w:ascii="Arial" w:hAnsi="Arial"/>
              <w:sz w:val="20"/>
            </w:rPr>
            <w:t xml:space="preserve">ve </w:t>
          </w:r>
          <w:proofErr w:type="gramStart"/>
          <w:r w:rsidR="00FE2158">
            <w:rPr>
              <w:rFonts w:ascii="Arial" w:hAnsi="Arial"/>
              <w:sz w:val="20"/>
            </w:rPr>
            <w:t>partnerlere</w:t>
          </w:r>
          <w:proofErr w:type="gramEnd"/>
          <w:r w:rsidR="00FE2158">
            <w:rPr>
              <w:rFonts w:ascii="Arial" w:hAnsi="Arial"/>
              <w:sz w:val="20"/>
            </w:rPr>
            <w:t xml:space="preserve"> </w:t>
          </w:r>
          <w:r>
            <w:rPr>
              <w:rFonts w:ascii="Arial" w:hAnsi="Arial"/>
              <w:sz w:val="20"/>
            </w:rPr>
            <w:t xml:space="preserve">gerçekleştirilen </w:t>
          </w:r>
          <w:r w:rsidR="00FE2158">
            <w:rPr>
              <w:rFonts w:ascii="Arial" w:hAnsi="Arial"/>
              <w:sz w:val="20"/>
            </w:rPr>
            <w:t>satış</w:t>
          </w:r>
          <w:r w:rsidR="006B7000">
            <w:rPr>
              <w:rFonts w:ascii="Arial" w:hAnsi="Arial"/>
              <w:sz w:val="20"/>
            </w:rPr>
            <w:t>lar</w:t>
          </w:r>
          <w:r w:rsidR="00FE2158">
            <w:rPr>
              <w:rFonts w:ascii="Arial" w:hAnsi="Arial"/>
              <w:sz w:val="20"/>
            </w:rPr>
            <w:t xml:space="preserve">daki artış sayesinde </w:t>
          </w:r>
          <w:r>
            <w:rPr>
              <w:rFonts w:ascii="Arial" w:hAnsi="Arial"/>
              <w:sz w:val="20"/>
            </w:rPr>
            <w:t xml:space="preserve">yüzde </w:t>
          </w:r>
          <w:r w:rsidR="006B7000">
            <w:rPr>
              <w:rFonts w:ascii="Arial" w:hAnsi="Arial" w:cs="Arial"/>
              <w:sz w:val="20"/>
              <w:szCs w:val="20"/>
            </w:rPr>
            <w:t>10,9 </w:t>
          </w:r>
          <w:r w:rsidR="00FE2158">
            <w:rPr>
              <w:rFonts w:ascii="Arial" w:hAnsi="Arial"/>
              <w:sz w:val="20"/>
            </w:rPr>
            <w:t xml:space="preserve"> art</w:t>
          </w:r>
          <w:r>
            <w:rPr>
              <w:rFonts w:ascii="Arial" w:hAnsi="Arial"/>
              <w:sz w:val="20"/>
            </w:rPr>
            <w:t>tı</w:t>
          </w:r>
          <w:r w:rsidR="00FE2158">
            <w:rPr>
              <w:rFonts w:ascii="Arial" w:hAnsi="Arial"/>
              <w:sz w:val="20"/>
            </w:rPr>
            <w:t xml:space="preserve"> ve </w:t>
          </w:r>
          <w:r w:rsidR="006B7000">
            <w:rPr>
              <w:rFonts w:ascii="Arial" w:hAnsi="Arial" w:cs="Arial"/>
              <w:sz w:val="20"/>
              <w:szCs w:val="20"/>
            </w:rPr>
            <w:t xml:space="preserve">43 milyar </w:t>
          </w:r>
          <w:r w:rsidR="00276063">
            <w:rPr>
              <w:rFonts w:ascii="Arial" w:hAnsi="Arial" w:cs="Arial"/>
              <w:sz w:val="20"/>
              <w:szCs w:val="20"/>
            </w:rPr>
            <w:t>108</w:t>
          </w:r>
          <w:r w:rsidR="00276063" w:rsidRPr="00857CAC">
            <w:rPr>
              <w:rFonts w:ascii="Arial" w:hAnsi="Arial" w:cs="Arial"/>
              <w:sz w:val="20"/>
              <w:szCs w:val="20"/>
            </w:rPr>
            <w:t xml:space="preserve"> </w:t>
          </w:r>
          <w:r w:rsidR="00276063">
            <w:rPr>
              <w:rFonts w:ascii="Arial" w:hAnsi="Arial"/>
              <w:sz w:val="20"/>
            </w:rPr>
            <w:t>milyon</w:t>
          </w:r>
          <w:r w:rsidR="006B7000">
            <w:rPr>
              <w:rFonts w:ascii="Arial" w:hAnsi="Arial"/>
              <w:sz w:val="20"/>
            </w:rPr>
            <w:t xml:space="preserve"> </w:t>
          </w:r>
          <w:proofErr w:type="spellStart"/>
          <w:r w:rsidR="008500CB">
            <w:rPr>
              <w:rFonts w:ascii="Arial" w:hAnsi="Arial"/>
              <w:sz w:val="20"/>
            </w:rPr>
            <w:t>Avro’</w:t>
          </w:r>
          <w:r w:rsidR="00276063">
            <w:rPr>
              <w:rFonts w:ascii="Arial" w:hAnsi="Arial"/>
              <w:sz w:val="20"/>
            </w:rPr>
            <w:t>ya</w:t>
          </w:r>
          <w:proofErr w:type="spellEnd"/>
          <w:r w:rsidR="00FE2158">
            <w:rPr>
              <w:rFonts w:ascii="Arial" w:hAnsi="Arial"/>
              <w:sz w:val="20"/>
            </w:rPr>
            <w:t xml:space="preserve"> gel</w:t>
          </w:r>
          <w:r>
            <w:rPr>
              <w:rFonts w:ascii="Arial" w:hAnsi="Arial"/>
              <w:sz w:val="20"/>
            </w:rPr>
            <w:t>di</w:t>
          </w:r>
          <w:r w:rsidR="00FE2158">
            <w:rPr>
              <w:rFonts w:ascii="Arial" w:hAnsi="Arial"/>
              <w:sz w:val="20"/>
            </w:rPr>
            <w:t>. Fiyat etkisi, özellikle bazı yeni ortaya çıkan pazarlardaki fiyat artışının döviz değer kaybını dengelemesi nedeniyle, pozitif ol</w:t>
          </w:r>
          <w:r w:rsidR="00462AD6">
            <w:rPr>
              <w:rFonts w:ascii="Arial" w:hAnsi="Arial"/>
              <w:sz w:val="20"/>
            </w:rPr>
            <w:t>du.</w:t>
          </w:r>
          <w:r w:rsidR="00FE2158">
            <w:rPr>
              <w:rFonts w:ascii="Arial" w:hAnsi="Arial"/>
              <w:sz w:val="20"/>
            </w:rPr>
            <w:t xml:space="preserve">  </w:t>
          </w:r>
        </w:p>
        <w:p w:rsidR="00715393" w:rsidRPr="00B15FA8" w:rsidRDefault="00462AD6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Grup</w:t>
          </w:r>
          <w:r w:rsidR="00715393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 faaliyet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 w:rsidR="00715393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rı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, 2014 yılındaki </w:t>
          </w:r>
          <w:r w:rsidR="006B5FB4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1 milyar 609</w:t>
          </w:r>
          <w:r w:rsidR="006B5FB4" w:rsidRPr="0071539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 </w:t>
          </w:r>
          <w:r w:rsidR="006B5FB4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milyon </w:t>
          </w:r>
          <w:proofErr w:type="spellStart"/>
          <w:r w:rsidR="008500CB">
            <w:rPr>
              <w:rFonts w:ascii="Arial" w:hAnsi="Arial"/>
              <w:caps w:val="0"/>
              <w:color w:val="auto"/>
              <w:spacing w:val="0"/>
              <w:sz w:val="20"/>
            </w:rPr>
            <w:t>Avro’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ya</w:t>
          </w:r>
          <w:proofErr w:type="spellEnd"/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karşı,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2015 yılında</w:t>
          </w:r>
          <w:r w:rsidR="006B5FB4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6B5FB4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2 milyar </w:t>
          </w:r>
          <w:r w:rsidR="0027606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320</w:t>
          </w:r>
          <w:r w:rsidR="00276063" w:rsidRPr="0071539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milyon</w:t>
          </w:r>
          <w:r w:rsidR="006B5FB4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Avro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6B5FB4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(+ % 44,2) 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>ol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du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ve bu gelirlerin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yüzde</w:t>
          </w:r>
          <w:r w:rsidR="006B5FB4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6B5FB4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5,1’ini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temsil et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ti 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(2014'de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yüzde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3,9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>).</w:t>
          </w:r>
        </w:p>
        <w:p w:rsidR="00EE3285" w:rsidRPr="00B15FA8" w:rsidRDefault="00EE3285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B46CE3" w:rsidRDefault="00462AD6" w:rsidP="00715393">
          <w:pPr>
            <w:autoSpaceDE w:val="0"/>
            <w:autoSpaceDN w:val="0"/>
            <w:adjustRightInd w:val="0"/>
            <w:jc w:val="both"/>
            <w:rPr>
              <w:rFonts w:ascii="Arial" w:hAnsi="Arial"/>
              <w:caps w:val="0"/>
              <w:color w:val="auto"/>
              <w:spacing w:val="0"/>
              <w:sz w:val="20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Otomobil</w:t>
          </w:r>
          <w:r w:rsidR="00715393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 faaliyet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 w:rsidR="00715393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rı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, </w:t>
          </w:r>
          <w:r w:rsidR="00C42C97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638</w:t>
          </w:r>
          <w:r w:rsidR="00C42C97" w:rsidRPr="0071539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 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proofErr w:type="spellStart"/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>’dan</w:t>
          </w:r>
          <w:proofErr w:type="spellEnd"/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1 milyar </w:t>
          </w:r>
          <w:r w:rsidR="00C42C97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496</w:t>
          </w:r>
          <w:r w:rsidR="00C42C97" w:rsidRPr="00715393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 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>milyon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proofErr w:type="spellStart"/>
          <w:r w:rsidR="008500CB">
            <w:rPr>
              <w:rFonts w:ascii="Arial" w:hAnsi="Arial"/>
              <w:caps w:val="0"/>
              <w:color w:val="auto"/>
              <w:spacing w:val="0"/>
              <w:sz w:val="20"/>
            </w:rPr>
            <w:t>Avro’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ya</w:t>
          </w:r>
          <w:proofErr w:type="spellEnd"/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çıktı </w:t>
          </w:r>
          <w:r w:rsidR="00C42C97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(+ %74,4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>)  ve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gelirlerin 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>yüzde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C42C97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3,5’unu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temsil etti (2014'de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>ki</w:t>
          </w:r>
          <w:r w:rsidR="00CC43D1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yüzde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2,2’ye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karşı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). </w:t>
          </w:r>
        </w:p>
        <w:p w:rsidR="00A546D0" w:rsidRDefault="00A546D0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B46CE3" w:rsidRDefault="00B46CE3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952144" w:rsidRDefault="005C4678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lastRenderedPageBreak/>
            <w:t xml:space="preserve">Bu performans </w:t>
          </w:r>
          <w:r w:rsidR="00A546D0">
            <w:rPr>
              <w:rFonts w:ascii="Arial" w:hAnsi="Arial"/>
              <w:caps w:val="0"/>
              <w:color w:val="auto"/>
              <w:spacing w:val="0"/>
              <w:sz w:val="20"/>
            </w:rPr>
            <w:t>ağırlıklı olarak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hacim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büyümesinden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(</w:t>
          </w:r>
          <w:r w:rsidR="00C42C97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480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) ve </w:t>
          </w:r>
          <w:r w:rsidR="00A546D0">
            <w:rPr>
              <w:rFonts w:ascii="Arial" w:hAnsi="Arial"/>
              <w:caps w:val="0"/>
              <w:color w:val="auto"/>
              <w:spacing w:val="0"/>
              <w:sz w:val="20"/>
            </w:rPr>
            <w:t>maliyetlerin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azalmasın</w:t>
          </w:r>
          <w:r w:rsidR="00D27376">
            <w:rPr>
              <w:rFonts w:ascii="Arial" w:hAnsi="Arial"/>
              <w:caps w:val="0"/>
              <w:color w:val="auto"/>
              <w:spacing w:val="0"/>
              <w:sz w:val="20"/>
            </w:rPr>
            <w:t>dan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(</w:t>
          </w:r>
          <w:r w:rsidR="00C42C97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>527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) </w:t>
          </w:r>
          <w:r w:rsidR="00D27376">
            <w:rPr>
              <w:rFonts w:ascii="Arial" w:hAnsi="Arial"/>
              <w:caps w:val="0"/>
              <w:color w:val="auto"/>
              <w:spacing w:val="0"/>
              <w:sz w:val="20"/>
            </w:rPr>
            <w:t>kaynaklandı.</w:t>
          </w:r>
        </w:p>
        <w:p w:rsidR="00C9101D" w:rsidRPr="00B15FA8" w:rsidRDefault="00C9101D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43149B" w:rsidRDefault="00952144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Diğer yandan, </w:t>
          </w:r>
          <w:proofErr w:type="gramStart"/>
          <w:r w:rsidR="00CD7461">
            <w:rPr>
              <w:rFonts w:ascii="Arial" w:hAnsi="Arial"/>
              <w:caps w:val="0"/>
              <w:color w:val="auto"/>
              <w:spacing w:val="0"/>
              <w:sz w:val="20"/>
            </w:rPr>
            <w:t>ekipman</w:t>
          </w:r>
          <w:proofErr w:type="gramEnd"/>
          <w:r w:rsidR="00CD7461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seviyesi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/fiyat/zenginleştirme etkisi (mix/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price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>/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enrichment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) </w:t>
          </w:r>
          <w:r w:rsidR="00B1273B">
            <w:rPr>
              <w:rFonts w:ascii="Arial" w:hAnsi="Arial"/>
              <w:caps w:val="0"/>
              <w:color w:val="auto"/>
              <w:spacing w:val="0"/>
              <w:sz w:val="20"/>
            </w:rPr>
            <w:t>379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>Avro ile negatif ol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du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>.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C42C97">
            <w:rPr>
              <w:rFonts w:ascii="Arial" w:hAnsi="Arial"/>
              <w:caps w:val="0"/>
              <w:color w:val="auto"/>
              <w:spacing w:val="0"/>
              <w:sz w:val="20"/>
            </w:rPr>
            <w:t>B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unun asıl nedeni bazı ürünlerin kullanım ömrünün </w:t>
          </w:r>
          <w:r w:rsidR="0054388B">
            <w:rPr>
              <w:rFonts w:ascii="Arial" w:hAnsi="Arial"/>
              <w:caps w:val="0"/>
              <w:color w:val="auto"/>
              <w:spacing w:val="0"/>
              <w:sz w:val="20"/>
            </w:rPr>
            <w:t>sona ermesiyle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ile ilgili harcamalar ve Euro 6 harcamalarıdır.</w:t>
          </w:r>
        </w:p>
        <w:p w:rsidR="00C9101D" w:rsidRPr="00B15FA8" w:rsidRDefault="00C9101D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43149B" w:rsidRPr="00B15FA8" w:rsidRDefault="0043149B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Son olarak, döviz ve ham madde etkileri az da olsa olumlu olmuş ve sırasıyla </w:t>
          </w:r>
          <w:r w:rsidR="0054388B">
            <w:rPr>
              <w:rFonts w:ascii="Arial" w:hAnsi="Arial"/>
              <w:caps w:val="0"/>
              <w:color w:val="auto"/>
              <w:spacing w:val="0"/>
              <w:sz w:val="20"/>
            </w:rPr>
            <w:t>22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ve </w:t>
          </w:r>
          <w:r w:rsidR="0054388B">
            <w:rPr>
              <w:rFonts w:ascii="Arial" w:hAnsi="Arial"/>
              <w:caps w:val="0"/>
              <w:color w:val="auto"/>
              <w:spacing w:val="0"/>
              <w:sz w:val="20"/>
            </w:rPr>
            <w:t>61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ol</w:t>
          </w:r>
          <w:r w:rsidR="004F1DF3">
            <w:rPr>
              <w:rFonts w:ascii="Arial" w:hAnsi="Arial"/>
              <w:caps w:val="0"/>
              <w:color w:val="auto"/>
              <w:spacing w:val="0"/>
              <w:sz w:val="20"/>
            </w:rPr>
            <w:t>du.</w:t>
          </w:r>
        </w:p>
        <w:p w:rsidR="00715393" w:rsidRPr="00B15FA8" w:rsidRDefault="00715393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5B0560" w:rsidRPr="00B15FA8" w:rsidRDefault="00B1273B" w:rsidP="006959FC">
          <w:pPr>
            <w:autoSpaceDE w:val="0"/>
            <w:autoSpaceDN w:val="0"/>
            <w:adjustRightInd w:val="0"/>
            <w:ind w:right="49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highlight w:val="yellow"/>
            </w:rPr>
          </w:pPr>
          <w:r w:rsidRPr="00B1273B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Satış f</w:t>
          </w:r>
          <w:r w:rsidR="005B0560" w:rsidRPr="00B1273B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ina</w:t>
          </w:r>
          <w:r w:rsidR="00B728B5" w:rsidRPr="00B1273B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n</w:t>
          </w:r>
          <w:r w:rsidR="005B0560" w:rsidRPr="00B1273B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smanı</w:t>
          </w:r>
          <w:r w:rsidRPr="00B1273B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 biriminin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, Grup’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>un faaliyet k</w:t>
          </w:r>
          <w:r w:rsidR="00943058" w:rsidRPr="00943058">
            <w:rPr>
              <w:rFonts w:ascii="Arial" w:hAnsi="Arial"/>
              <w:caps w:val="0"/>
              <w:color w:val="auto"/>
              <w:spacing w:val="0"/>
              <w:sz w:val="20"/>
            </w:rPr>
            <w:t>â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>rına katkısı, 2014 yılındaki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751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proofErr w:type="spellStart"/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>'ya</w:t>
          </w:r>
          <w:proofErr w:type="spellEnd"/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karşılık,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824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tutarında olmuştur.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Bu artış, özellikle hizmet birimlerinin de artan katkısıyla gerçekleşti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. Risk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maliyetindeki iyileşme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>,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>işlemekte olan geri ödenmemiş borçların ortalaması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nın, 2014 yılındaki yüzde 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>0.43</w:t>
          </w:r>
          <w:r w:rsidR="004F1DF3">
            <w:rPr>
              <w:rFonts w:ascii="Arial" w:hAnsi="Arial"/>
              <w:caps w:val="0"/>
              <w:color w:val="auto"/>
              <w:spacing w:val="0"/>
              <w:sz w:val="20"/>
            </w:rPr>
            <w:t>’e karşılık</w:t>
          </w:r>
          <w:r w:rsidR="005B056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, </w:t>
          </w:r>
          <w:r w:rsidR="004F1DF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yüzde </w:t>
          </w:r>
          <w:r w:rsidR="000F1E18">
            <w:rPr>
              <w:rFonts w:ascii="Arial" w:hAnsi="Arial"/>
              <w:caps w:val="0"/>
              <w:color w:val="auto"/>
              <w:spacing w:val="0"/>
              <w:sz w:val="20"/>
            </w:rPr>
            <w:t>0.</w:t>
          </w:r>
          <w:r w:rsidR="004F1DF3">
            <w:rPr>
              <w:rFonts w:ascii="Arial" w:hAnsi="Arial"/>
              <w:caps w:val="0"/>
              <w:color w:val="auto"/>
              <w:spacing w:val="0"/>
              <w:sz w:val="20"/>
            </w:rPr>
            <w:t>33</w:t>
          </w:r>
          <w:r w:rsidR="007577D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oranında gerçekleşerek iyileşme yaşandı.</w:t>
          </w:r>
        </w:p>
        <w:p w:rsidR="007A14C0" w:rsidRPr="00B15FA8" w:rsidRDefault="007A14C0" w:rsidP="006959FC">
          <w:pPr>
            <w:autoSpaceDE w:val="0"/>
            <w:autoSpaceDN w:val="0"/>
            <w:adjustRightInd w:val="0"/>
            <w:ind w:right="49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715393" w:rsidRPr="00B15FA8" w:rsidRDefault="00402294" w:rsidP="006959FC">
          <w:pPr>
            <w:autoSpaceDE w:val="0"/>
            <w:autoSpaceDN w:val="0"/>
            <w:adjustRightInd w:val="0"/>
            <w:ind w:right="49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Başlıca Fransa'da hala uygulama aşamasında olan rekabet anlaşmasına ilişkin yeniden yapılanma masrafları ve diğer bazı ülkelerdeki yeniden yapılanma masrafları nedeniyle, </w:t>
          </w:r>
          <w:r w:rsidR="004F1DF3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diğer faaliyet gelir ve g</w:t>
          </w: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id</w:t>
          </w:r>
          <w:r w:rsidR="004F1DF3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er k</w:t>
          </w: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alemleri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4F1DF3">
            <w:rPr>
              <w:rFonts w:ascii="Arial" w:hAnsi="Arial"/>
              <w:caps w:val="0"/>
              <w:color w:val="auto"/>
              <w:spacing w:val="0"/>
              <w:sz w:val="20"/>
            </w:rPr>
            <w:t>eksi 199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4F1DF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olmuştur (2014 yılında eksi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504 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). </w:t>
          </w:r>
        </w:p>
        <w:p w:rsidR="00715393" w:rsidRPr="00B15FA8" w:rsidRDefault="00715393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715393" w:rsidRPr="00B15FA8" w:rsidRDefault="00D31A0D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 w:rsidRPr="00D31A0D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Grup işletme k</w:t>
          </w:r>
          <w:r w:rsidR="00943058">
            <w:rPr>
              <w:rFonts w:ascii="Arial" w:hAnsi="Arial"/>
              <w:b/>
              <w:caps w:val="0"/>
              <w:color w:val="auto"/>
              <w:spacing w:val="0"/>
              <w:sz w:val="22"/>
            </w:rPr>
            <w:t>â</w:t>
          </w:r>
          <w:r w:rsidRPr="00D31A0D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rı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>, 2014 yılında 1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milyar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105 milyon Avro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iken, </w:t>
          </w:r>
          <w:r w:rsidR="000F1E18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2015 yılında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2 milyar 121</w:t>
          </w:r>
          <w:r w:rsidR="000F1E18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 w:rsidR="000F1E18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oldu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. </w:t>
          </w:r>
          <w:r w:rsidR="000F1E18">
            <w:rPr>
              <w:rFonts w:ascii="Arial" w:hAnsi="Arial"/>
              <w:caps w:val="0"/>
              <w:color w:val="auto"/>
              <w:spacing w:val="0"/>
              <w:sz w:val="20"/>
            </w:rPr>
            <w:t>Bu iyileşme, f</w:t>
          </w:r>
          <w:r w:rsidR="00715393">
            <w:rPr>
              <w:rFonts w:ascii="Arial" w:hAnsi="Arial"/>
              <w:caps w:val="0"/>
              <w:color w:val="auto"/>
              <w:spacing w:val="0"/>
              <w:sz w:val="20"/>
            </w:rPr>
            <w:t>aaliyet karındaki artış ve diğer masraflardaki kayda değer azalma</w:t>
          </w:r>
          <w:r w:rsidR="000F1E18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dan kaynaklandı. </w:t>
          </w:r>
        </w:p>
        <w:p w:rsidR="00715393" w:rsidRPr="00B15FA8" w:rsidRDefault="00715393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1C6192" w:rsidRPr="00B15FA8" w:rsidRDefault="00715393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Bağlı şirketlerin katkısı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, 2014 yılında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1 milyar 362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iken, 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2015 yılında 1 milyar 371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ol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>du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. </w:t>
          </w:r>
        </w:p>
        <w:p w:rsidR="001C6192" w:rsidRPr="00B15FA8" w:rsidRDefault="001C6192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0517AB" w:rsidRPr="00B15FA8" w:rsidRDefault="00DC5895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>Ni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ssan'ın katkısı, 2014 yılında 1 milyar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559 milyon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iken, 2015 yılında bu 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1 milyar 976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milyon </w:t>
          </w:r>
          <w:r w:rsidR="00276063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ol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du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.</w:t>
          </w:r>
        </w:p>
        <w:p w:rsidR="00792507" w:rsidRPr="00B15FA8" w:rsidRDefault="00792507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584854" w:rsidRPr="00B15FA8" w:rsidRDefault="002B6A54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Rusya'daki alışılmadık derecede zayıf olan ekonomik durum (otomotiv pazarında 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yüzde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35 daralma, yıllı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k ortalama Ruble döviz kurunda yüzde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33 azalma ve artan faiz oranları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>)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, ilk beklentimizden daha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olumsuz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gerçekleşti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ve bu da 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AvtoVAZ'ın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katkısı ile ilgili olarak Renault'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un aşağıdaki açıklanan</w:t>
          </w:r>
          <w:r w:rsidR="00486B4C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620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proofErr w:type="spellStart"/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Avro’luk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zarar kaydetmesine neden ol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du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:</w:t>
          </w:r>
        </w:p>
        <w:p w:rsidR="00584854" w:rsidRPr="00B15FA8" w:rsidRDefault="00584854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584854" w:rsidRPr="00B15FA8" w:rsidRDefault="002B6A54" w:rsidP="00584854">
          <w:pPr>
            <w:pStyle w:val="ListeParagraf"/>
            <w:numPr>
              <w:ilvl w:val="0"/>
              <w:numId w:val="4"/>
            </w:num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AvtoVAZ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tarafından kaydedilen net </w:t>
          </w:r>
          <w:r w:rsidR="00096224">
            <w:rPr>
              <w:rFonts w:ascii="Arial" w:hAnsi="Arial"/>
              <w:caps w:val="0"/>
              <w:color w:val="auto"/>
              <w:spacing w:val="0"/>
              <w:sz w:val="20"/>
            </w:rPr>
            <w:t>395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kayıpta (bunun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096224">
            <w:rPr>
              <w:rFonts w:ascii="Arial" w:hAnsi="Arial"/>
              <w:caps w:val="0"/>
              <w:color w:val="auto"/>
              <w:spacing w:val="0"/>
              <w:sz w:val="20"/>
            </w:rPr>
            <w:t>136</w:t>
          </w:r>
          <w:r w:rsidR="002763C3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milyon </w:t>
          </w:r>
          <w:proofErr w:type="spellStart"/>
          <w:r w:rsidR="002763C3">
            <w:rPr>
              <w:rFonts w:ascii="Arial" w:hAnsi="Arial"/>
              <w:caps w:val="0"/>
              <w:color w:val="auto"/>
              <w:spacing w:val="0"/>
              <w:sz w:val="20"/>
            </w:rPr>
            <w:t>Avro’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su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eksi faaliyet </w:t>
          </w:r>
          <w:r w:rsidR="00096224">
            <w:rPr>
              <w:rFonts w:ascii="Arial" w:hAnsi="Arial"/>
              <w:caps w:val="0"/>
              <w:color w:val="auto"/>
              <w:spacing w:val="0"/>
              <w:sz w:val="20"/>
            </w:rPr>
            <w:t>karı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), Renault'</w:t>
          </w:r>
          <w:r w:rsidR="00096224">
            <w:rPr>
              <w:rFonts w:ascii="Arial" w:hAnsi="Arial"/>
              <w:caps w:val="0"/>
              <w:color w:val="auto"/>
              <w:spacing w:val="0"/>
              <w:sz w:val="20"/>
            </w:rPr>
            <w:t>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un payı, </w:t>
          </w:r>
        </w:p>
        <w:p w:rsidR="00584854" w:rsidRPr="00B15FA8" w:rsidRDefault="00584854" w:rsidP="002C55D5">
          <w:pPr>
            <w:pStyle w:val="ListeParagraf"/>
            <w:numPr>
              <w:ilvl w:val="0"/>
              <w:numId w:val="4"/>
            </w:num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Sermaye yatırımlarının değerleri üzerindeki değer düşüklüğüne bağlı olarak, bunun 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AvtoVAZ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hisselerinin borsa değerine göre ayarlanması için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yapılan 225 milyon </w:t>
          </w:r>
          <w:bookmarkStart w:id="0" w:name="_GoBack"/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bookmarkEnd w:id="0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kayıp. 31 Aralık 2015 tarihinde, Renault'</w:t>
          </w:r>
          <w:r w:rsidR="00966E77">
            <w:rPr>
              <w:rFonts w:ascii="Arial" w:hAnsi="Arial"/>
              <w:caps w:val="0"/>
              <w:color w:val="auto"/>
              <w:spacing w:val="0"/>
              <w:sz w:val="20"/>
            </w:rPr>
            <w:t>n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un 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AvtoVAZ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hisselerinin değeri </w:t>
          </w:r>
          <w:r w:rsidR="00096224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91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milyon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olarak belirlen</w:t>
          </w:r>
          <w:r w:rsidR="00096224">
            <w:rPr>
              <w:rFonts w:ascii="Arial" w:hAnsi="Arial"/>
              <w:caps w:val="0"/>
              <w:color w:val="auto"/>
              <w:spacing w:val="0"/>
              <w:sz w:val="20"/>
            </w:rPr>
            <w:t>di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.</w:t>
          </w:r>
        </w:p>
        <w:p w:rsidR="002B6A54" w:rsidRPr="00B15FA8" w:rsidRDefault="002B6A54" w:rsidP="002B6A54">
          <w:pPr>
            <w:pStyle w:val="ListeParagraf"/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5F5F80" w:rsidRPr="00B15FA8" w:rsidRDefault="0032418D" w:rsidP="00BE2EEF">
          <w:pPr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Renault Grubu, 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AvtoVAZ'ın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ana holding şirketi olan ARA 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BV'nin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diğer paydaşları 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>ile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şirketin sermayesinin yeniden yapılandırılması 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>için görüşmelere başladı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. Bu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>,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Renault hesaplarını </w:t>
          </w:r>
          <w:proofErr w:type="gram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konsolide</w:t>
          </w:r>
          <w:proofErr w:type="gram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etmeye olanak sağlayabilir.</w:t>
          </w:r>
          <w:r>
            <w:rPr>
              <w:rFonts w:ascii="Arial" w:hAnsi="Arial"/>
              <w:color w:val="00B050"/>
              <w:sz w:val="20"/>
            </w:rPr>
            <w:t xml:space="preserve">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Sonuçta, </w:t>
          </w:r>
          <w:proofErr w:type="spellStart"/>
          <w:r>
            <w:rPr>
              <w:rFonts w:ascii="Arial" w:hAnsi="Arial"/>
              <w:caps w:val="0"/>
              <w:color w:val="auto"/>
              <w:spacing w:val="0"/>
              <w:sz w:val="20"/>
            </w:rPr>
            <w:t>AvtoVAZ'ın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kredi ve alacakları sermaye olarak kullanılacak ve 31 Aralık 2015 tarihinde net sermaye yatırımlarını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n bir parçasını teşkil edecek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. </w:t>
          </w:r>
        </w:p>
        <w:p w:rsidR="0032418D" w:rsidRPr="00B15FA8" w:rsidRDefault="0032418D" w:rsidP="00584854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715393" w:rsidRPr="00B15FA8" w:rsidRDefault="00715393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Net </w:t>
          </w:r>
          <w:r w:rsidR="00726E49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kar</w:t>
          </w: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, 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2 milyar 960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milyon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(+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%48,1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) ol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>du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ve Grup hisseleri toplamda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2 milyar 823 milyon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değere ulaş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>tı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(hisse başına 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10,35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Avro, bunun 2014'de hisse başına 6.92 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olduğu düşünüldüğünde, artış </w:t>
          </w:r>
          <w:r w:rsidR="00726E49">
            <w:rPr>
              <w:rFonts w:ascii="Arial" w:hAnsi="Arial"/>
              <w:caps w:val="0"/>
              <w:color w:val="auto"/>
              <w:spacing w:val="0"/>
              <w:sz w:val="20"/>
            </w:rPr>
            <w:t>yüzde 49,6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'dır).</w:t>
          </w:r>
        </w:p>
        <w:p w:rsidR="00715393" w:rsidRPr="00B15FA8" w:rsidRDefault="00715393" w:rsidP="00715393">
          <w:pPr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361479" w:rsidRPr="00B15FA8" w:rsidRDefault="00A00B50" w:rsidP="00361479">
          <w:pPr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Otomob</w:t>
          </w:r>
          <w:r w:rsidR="00A733B8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ilde </w:t>
          </w:r>
          <w:r w:rsidR="00361479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 xml:space="preserve">nakit </w:t>
          </w:r>
          <w:r w:rsidR="00A733B8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fazlası</w:t>
          </w:r>
          <w:r w:rsidR="0036147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1 milyar 33 milyon Avro</w:t>
          </w:r>
          <w:r w:rsidR="00A733B8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ile olumlu olmuştur.</w:t>
          </w:r>
          <w:r w:rsidR="0036147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="00A733B8">
            <w:rPr>
              <w:rFonts w:ascii="Arial" w:hAnsi="Arial"/>
              <w:caps w:val="0"/>
              <w:color w:val="auto"/>
              <w:spacing w:val="0"/>
              <w:sz w:val="20"/>
            </w:rPr>
            <w:t>B</w:t>
          </w:r>
          <w:r w:rsidR="0036147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unun en büyün nedeni karlılıktaki artışın yanı sıra işletme sermayesi </w:t>
          </w:r>
          <w:r w:rsidR="00A733B8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ihtiyacındaki </w:t>
          </w:r>
          <w:r w:rsidR="00A733B8"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  <w:lang w:eastAsia="fr-FR"/>
            </w:rPr>
            <w:t xml:space="preserve">663 </w:t>
          </w:r>
          <w:r w:rsidR="0036147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milyon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 w:rsidR="00361479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pozitif değişmedir. </w:t>
          </w:r>
        </w:p>
        <w:p w:rsidR="00361479" w:rsidRPr="00B15FA8" w:rsidRDefault="00361479" w:rsidP="00361479">
          <w:pPr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</w:p>
        <w:p w:rsidR="00361479" w:rsidRPr="00B15FA8" w:rsidRDefault="00405365" w:rsidP="00361479">
          <w:pPr>
            <w:jc w:val="both"/>
            <w:rPr>
              <w:rFonts w:ascii="Arial" w:eastAsia="Times New Roman" w:hAnsi="Arial" w:cs="Arial"/>
              <w:caps w:val="0"/>
              <w:color w:val="auto"/>
              <w:spacing w:val="0"/>
              <w:sz w:val="20"/>
              <w:szCs w:val="20"/>
            </w:rPr>
          </w:pPr>
          <w:r>
            <w:rPr>
              <w:rFonts w:ascii="Arial" w:hAnsi="Arial"/>
              <w:caps w:val="0"/>
              <w:color w:val="auto"/>
              <w:spacing w:val="0"/>
              <w:sz w:val="20"/>
            </w:rPr>
            <w:t>Önceki yıl</w:t>
          </w:r>
          <w:r w:rsidR="002810AA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1.90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proofErr w:type="spellStart"/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’ya</w:t>
          </w:r>
          <w:proofErr w:type="spellEnd"/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karşın, </w:t>
          </w:r>
          <w:r w:rsidR="002810AA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hisse başına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2,40 </w:t>
          </w:r>
          <w:r w:rsidR="00A00B50">
            <w:rPr>
              <w:rFonts w:ascii="Arial" w:hAnsi="Arial"/>
              <w:caps w:val="0"/>
              <w:color w:val="auto"/>
              <w:spacing w:val="0"/>
              <w:sz w:val="20"/>
            </w:rPr>
            <w:t>Avro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 w:rsidRPr="00405365">
            <w:rPr>
              <w:rFonts w:ascii="Arial" w:hAnsi="Arial"/>
              <w:b/>
              <w:caps w:val="0"/>
              <w:color w:val="auto"/>
              <w:spacing w:val="0"/>
              <w:sz w:val="20"/>
            </w:rPr>
            <w:t>temettü</w:t>
          </w:r>
          <w:r w:rsidR="002810AA">
            <w:rPr>
              <w:rFonts w:ascii="Arial" w:hAnsi="Arial"/>
              <w:caps w:val="0"/>
              <w:color w:val="auto"/>
              <w:spacing w:val="0"/>
              <w:sz w:val="20"/>
            </w:rPr>
            <w:t xml:space="preserve"> </w:t>
          </w:r>
          <w:r>
            <w:rPr>
              <w:rFonts w:ascii="Arial" w:hAnsi="Arial"/>
              <w:caps w:val="0"/>
              <w:color w:val="auto"/>
              <w:spacing w:val="0"/>
              <w:sz w:val="20"/>
            </w:rPr>
            <w:t>önümüzdeki Olağan Genel Kurul’un onayına sunulacaktır.</w:t>
          </w:r>
        </w:p>
        <w:p w:rsidR="00B728B5" w:rsidRDefault="00B728B5" w:rsidP="00B728B5">
          <w:pPr>
            <w:rPr>
              <w:rFonts w:ascii="Arial" w:hAnsi="Arial" w:cs="Arial"/>
            </w:rPr>
          </w:pPr>
        </w:p>
        <w:p w:rsidR="00B728B5" w:rsidRDefault="00B728B5" w:rsidP="00B728B5">
          <w:pPr>
            <w:rPr>
              <w:rFonts w:ascii="Arial" w:hAnsi="Arial" w:cs="Arial"/>
            </w:rPr>
          </w:pPr>
        </w:p>
        <w:p w:rsidR="00B728B5" w:rsidRDefault="00D57B2E" w:rsidP="00B728B5">
          <w:pPr>
            <w:rPr>
              <w:rFonts w:ascii="Arial" w:hAnsi="Arial" w:cs="Arial"/>
            </w:rPr>
          </w:pPr>
        </w:p>
      </w:sdtContent>
    </w:sdt>
    <w:p w:rsidR="009155AE" w:rsidRPr="00B728B5" w:rsidRDefault="009155AE" w:rsidP="00B728B5">
      <w:pPr>
        <w:rPr>
          <w:rFonts w:ascii="Arial" w:hAnsi="Arial" w:cs="Arial"/>
        </w:rPr>
      </w:pPr>
      <w:r>
        <w:rPr>
          <w:rFonts w:ascii="Arial" w:hAnsi="Arial"/>
          <w:b/>
          <w:caps w:val="0"/>
          <w:color w:val="auto"/>
          <w:spacing w:val="0"/>
          <w:sz w:val="26"/>
        </w:rPr>
        <w:t>2016</w:t>
      </w:r>
      <w:r w:rsidR="006B1050">
        <w:rPr>
          <w:rFonts w:ascii="Arial" w:hAnsi="Arial"/>
          <w:b/>
          <w:caps w:val="0"/>
          <w:color w:val="auto"/>
          <w:spacing w:val="0"/>
          <w:sz w:val="26"/>
        </w:rPr>
        <w:t xml:space="preserve"> ÖNGÖRÜLERİ</w:t>
      </w:r>
    </w:p>
    <w:p w:rsidR="00EB0A5B" w:rsidRPr="00B15FA8" w:rsidRDefault="00EB0A5B" w:rsidP="00EB0A5B">
      <w:pPr>
        <w:pStyle w:val="NormalWeb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2016 yılında küresel pazarın, 2015 yılına göre</w:t>
      </w:r>
      <w:r w:rsidR="006B1050">
        <w:rPr>
          <w:rFonts w:ascii="Arial" w:hAnsi="Arial"/>
          <w:sz w:val="20"/>
        </w:rPr>
        <w:t xml:space="preserve"> yüzde 1 ile yüzde </w:t>
      </w:r>
      <w:r>
        <w:rPr>
          <w:rFonts w:ascii="Arial" w:hAnsi="Arial"/>
          <w:sz w:val="20"/>
        </w:rPr>
        <w:t>2 arasında bir büyüme göstermesi beklen</w:t>
      </w:r>
      <w:r w:rsidR="006B1050">
        <w:rPr>
          <w:rFonts w:ascii="Arial" w:hAnsi="Arial"/>
          <w:sz w:val="20"/>
        </w:rPr>
        <w:t xml:space="preserve">iyor. Avrupa pazarının yüzde </w:t>
      </w:r>
      <w:r>
        <w:rPr>
          <w:rFonts w:ascii="Arial" w:hAnsi="Arial"/>
          <w:sz w:val="20"/>
        </w:rPr>
        <w:t>2 artış göstermesi beklenir</w:t>
      </w:r>
      <w:r w:rsidR="006B1050">
        <w:rPr>
          <w:rFonts w:ascii="Arial" w:hAnsi="Arial"/>
          <w:sz w:val="20"/>
        </w:rPr>
        <w:t xml:space="preserve">ken, Fransa pazarı için ayrıca yüzde </w:t>
      </w:r>
      <w:r>
        <w:rPr>
          <w:rFonts w:ascii="Arial" w:hAnsi="Arial"/>
          <w:sz w:val="20"/>
        </w:rPr>
        <w:t xml:space="preserve">2'lik </w:t>
      </w:r>
      <w:r w:rsidR="006B1050">
        <w:rPr>
          <w:rFonts w:ascii="Arial" w:hAnsi="Arial"/>
          <w:sz w:val="20"/>
        </w:rPr>
        <w:t xml:space="preserve">bir </w:t>
      </w:r>
      <w:r>
        <w:rPr>
          <w:rFonts w:ascii="Arial" w:hAnsi="Arial"/>
          <w:sz w:val="20"/>
        </w:rPr>
        <w:t>büyüme beklen</w:t>
      </w:r>
      <w:r w:rsidR="006B1050">
        <w:rPr>
          <w:rFonts w:ascii="Arial" w:hAnsi="Arial"/>
          <w:sz w:val="20"/>
        </w:rPr>
        <w:t>iyor</w:t>
      </w:r>
      <w:r>
        <w:rPr>
          <w:rFonts w:ascii="Arial" w:hAnsi="Arial"/>
          <w:sz w:val="20"/>
        </w:rPr>
        <w:t>.</w:t>
      </w:r>
    </w:p>
    <w:p w:rsidR="00EB0A5B" w:rsidRPr="00B15FA8" w:rsidRDefault="00EB0A5B" w:rsidP="00EB0A5B">
      <w:pPr>
        <w:pStyle w:val="NormalWeb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Uluslararası seviyede ise, Brezilya ve Rusya pazarlarının daha da inişe </w:t>
      </w:r>
      <w:r w:rsidR="005C101A">
        <w:rPr>
          <w:rFonts w:ascii="Arial" w:hAnsi="Arial"/>
          <w:sz w:val="20"/>
        </w:rPr>
        <w:t xml:space="preserve">geçmesi ve sırasıyla yüzde 6 ve yüzde </w:t>
      </w:r>
      <w:r>
        <w:rPr>
          <w:rFonts w:ascii="Arial" w:hAnsi="Arial"/>
          <w:sz w:val="20"/>
        </w:rPr>
        <w:t>12 düşüş göstermesi beklen</w:t>
      </w:r>
      <w:r w:rsidR="005C101A">
        <w:rPr>
          <w:rFonts w:ascii="Arial" w:hAnsi="Arial"/>
          <w:sz w:val="20"/>
        </w:rPr>
        <w:t>iyor</w:t>
      </w:r>
      <w:r>
        <w:rPr>
          <w:rFonts w:ascii="Arial" w:hAnsi="Arial"/>
          <w:sz w:val="20"/>
        </w:rPr>
        <w:t>. Çin (+%4 ile +%5) ve Hindistan'ın (+%8) ise ivmelerini korumaları beklen</w:t>
      </w:r>
      <w:r w:rsidR="00A00B50">
        <w:rPr>
          <w:rFonts w:ascii="Arial" w:hAnsi="Arial"/>
          <w:sz w:val="20"/>
        </w:rPr>
        <w:t>iyor</w:t>
      </w:r>
      <w:r>
        <w:rPr>
          <w:rFonts w:ascii="Arial" w:hAnsi="Arial"/>
          <w:sz w:val="20"/>
        </w:rPr>
        <w:t>.</w:t>
      </w:r>
    </w:p>
    <w:p w:rsidR="009155AE" w:rsidRPr="00B15FA8" w:rsidRDefault="00966E77" w:rsidP="00EB0A5B">
      <w:pPr>
        <w:pStyle w:val="NormalWeb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Bu bağlamda, Renault G</w:t>
      </w:r>
      <w:r w:rsidR="009155AE">
        <w:rPr>
          <w:rFonts w:ascii="Arial" w:hAnsi="Arial"/>
          <w:sz w:val="20"/>
        </w:rPr>
        <w:t>rubu</w:t>
      </w:r>
      <w:r>
        <w:rPr>
          <w:rFonts w:ascii="Arial" w:hAnsi="Arial"/>
          <w:sz w:val="20"/>
        </w:rPr>
        <w:t>’</w:t>
      </w:r>
      <w:r w:rsidR="009155AE">
        <w:rPr>
          <w:rFonts w:ascii="Arial" w:hAnsi="Arial"/>
          <w:sz w:val="20"/>
        </w:rPr>
        <w:t>nun amacı:</w:t>
      </w:r>
    </w:p>
    <w:p w:rsidR="009155AE" w:rsidRPr="00B15FA8" w:rsidRDefault="005C101A" w:rsidP="009155AE">
      <w:pPr>
        <w:pStyle w:val="NormalWeb"/>
        <w:numPr>
          <w:ilvl w:val="0"/>
          <w:numId w:val="3"/>
        </w:numPr>
        <w:spacing w:beforeAutospacing="0" w:afterAutospacing="0"/>
        <w:ind w:right="1021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G</w:t>
      </w:r>
      <w:r w:rsidR="0010505D">
        <w:rPr>
          <w:rFonts w:ascii="Arial" w:hAnsi="Arial"/>
          <w:sz w:val="20"/>
        </w:rPr>
        <w:t xml:space="preserve">rup </w:t>
      </w:r>
      <w:r>
        <w:rPr>
          <w:rFonts w:ascii="Arial" w:hAnsi="Arial"/>
          <w:sz w:val="20"/>
        </w:rPr>
        <w:t>cirosunu</w:t>
      </w:r>
      <w:r w:rsidR="0010505D">
        <w:rPr>
          <w:rFonts w:ascii="Arial" w:hAnsi="Arial"/>
          <w:sz w:val="20"/>
        </w:rPr>
        <w:t xml:space="preserve"> artırmak (sabit döviz kurlarında),</w:t>
      </w:r>
    </w:p>
    <w:p w:rsidR="009155AE" w:rsidRPr="00B15FA8" w:rsidRDefault="005C101A" w:rsidP="009155AE">
      <w:pPr>
        <w:pStyle w:val="NormalWeb"/>
        <w:numPr>
          <w:ilvl w:val="0"/>
          <w:numId w:val="3"/>
        </w:numPr>
        <w:spacing w:beforeAutospacing="0" w:afterAutospacing="0"/>
        <w:ind w:right="1021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G</w:t>
      </w:r>
      <w:r w:rsidR="0010505D">
        <w:rPr>
          <w:rFonts w:ascii="Arial" w:hAnsi="Arial"/>
          <w:sz w:val="20"/>
        </w:rPr>
        <w:t xml:space="preserve">rubun faaliyet </w:t>
      </w:r>
      <w:r>
        <w:rPr>
          <w:rFonts w:ascii="Arial" w:hAnsi="Arial"/>
          <w:sz w:val="20"/>
        </w:rPr>
        <w:t>karını</w:t>
      </w:r>
      <w:r w:rsidR="0010505D">
        <w:rPr>
          <w:rFonts w:ascii="Arial" w:hAnsi="Arial"/>
          <w:sz w:val="20"/>
        </w:rPr>
        <w:t xml:space="preserve"> artırmak, </w:t>
      </w:r>
    </w:p>
    <w:p w:rsidR="003B40E9" w:rsidRPr="00B15FA8" w:rsidRDefault="00004CE0" w:rsidP="003B40E9">
      <w:pPr>
        <w:pStyle w:val="NormalWeb"/>
        <w:numPr>
          <w:ilvl w:val="0"/>
          <w:numId w:val="3"/>
        </w:numPr>
        <w:spacing w:beforeAutospacing="0" w:afterAutospacing="0"/>
        <w:ind w:right="1021"/>
        <w:jc w:val="both"/>
        <w:textAlignment w:val="top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</w:rPr>
        <w:t>Otomob</w:t>
      </w:r>
      <w:r w:rsidR="005C101A">
        <w:rPr>
          <w:rFonts w:ascii="Arial" w:hAnsi="Arial"/>
          <w:sz w:val="20"/>
        </w:rPr>
        <w:t>il biriminde nakit fazlası</w:t>
      </w:r>
      <w:r w:rsidR="0010505D">
        <w:rPr>
          <w:rFonts w:ascii="Arial" w:hAnsi="Arial"/>
          <w:sz w:val="20"/>
        </w:rPr>
        <w:t xml:space="preserve"> oluşturmak. </w:t>
      </w:r>
      <w:proofErr w:type="gramEnd"/>
    </w:p>
    <w:p w:rsidR="00B728B5" w:rsidRPr="00B15FA8" w:rsidRDefault="00B728B5">
      <w:pPr>
        <w:rPr>
          <w:rFonts w:ascii="Arial" w:hAnsi="Arial" w:cs="Arial"/>
          <w:sz w:val="20"/>
          <w:szCs w:val="20"/>
        </w:rPr>
      </w:pPr>
    </w:p>
    <w:p w:rsidR="007B2DD2" w:rsidRPr="00B15FA8" w:rsidRDefault="007B2DD2" w:rsidP="003B40E9">
      <w:pPr>
        <w:rPr>
          <w:rFonts w:ascii="Arial" w:eastAsia="Times" w:hAnsi="Arial" w:cs="Arial"/>
          <w:b/>
          <w:iCs/>
          <w:color w:val="auto"/>
          <w:spacing w:val="0"/>
          <w:sz w:val="26"/>
          <w:szCs w:val="26"/>
        </w:rPr>
      </w:pPr>
      <w:r>
        <w:rPr>
          <w:rFonts w:ascii="Arial" w:hAnsi="Arial"/>
          <w:b/>
          <w:color w:val="auto"/>
          <w:spacing w:val="0"/>
          <w:sz w:val="26"/>
        </w:rPr>
        <w:t xml:space="preserve">RENAULT KONSOLİDE </w:t>
      </w:r>
      <w:r w:rsidR="005756DB">
        <w:rPr>
          <w:rFonts w:ascii="Arial" w:hAnsi="Arial"/>
          <w:b/>
          <w:color w:val="auto"/>
          <w:spacing w:val="0"/>
          <w:sz w:val="26"/>
        </w:rPr>
        <w:t xml:space="preserve">FİNANSAL </w:t>
      </w:r>
      <w:r>
        <w:rPr>
          <w:rFonts w:ascii="Arial" w:hAnsi="Arial"/>
          <w:b/>
          <w:color w:val="auto"/>
          <w:spacing w:val="0"/>
          <w:sz w:val="26"/>
        </w:rPr>
        <w:t>SONUÇLAR</w:t>
      </w:r>
      <w:r w:rsidR="005756DB">
        <w:rPr>
          <w:rFonts w:ascii="Arial" w:hAnsi="Arial"/>
          <w:b/>
          <w:color w:val="auto"/>
          <w:spacing w:val="0"/>
          <w:sz w:val="26"/>
        </w:rPr>
        <w:t>I</w:t>
      </w:r>
      <w:r>
        <w:rPr>
          <w:rFonts w:ascii="Arial" w:hAnsi="Arial"/>
          <w:b/>
          <w:color w:val="auto"/>
          <w:spacing w:val="0"/>
          <w:sz w:val="26"/>
        </w:rPr>
        <w:t xml:space="preserve"> </w:t>
      </w:r>
    </w:p>
    <w:p w:rsidR="004761B5" w:rsidRPr="00B15FA8" w:rsidRDefault="004761B5" w:rsidP="007B2DD2">
      <w:pPr>
        <w:rPr>
          <w:rFonts w:ascii="Times New Roman" w:eastAsia="Times New Roman" w:hAnsi="Times New Roman" w:cs="Times New Roman"/>
          <w:caps w:val="0"/>
          <w:color w:val="auto"/>
          <w:spacing w:val="0"/>
          <w:sz w:val="24"/>
        </w:rPr>
      </w:pPr>
    </w:p>
    <w:tbl>
      <w:tblPr>
        <w:tblW w:w="8959" w:type="dxa"/>
        <w:tblInd w:w="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47"/>
        <w:gridCol w:w="1410"/>
        <w:gridCol w:w="1427"/>
        <w:gridCol w:w="1275"/>
      </w:tblGrid>
      <w:tr w:rsidR="007B2DD2" w:rsidRPr="00B15FA8" w:rsidTr="004761B5">
        <w:trPr>
          <w:trHeight w:val="320"/>
        </w:trPr>
        <w:tc>
          <w:tcPr>
            <w:tcW w:w="4847" w:type="dxa"/>
            <w:shd w:val="clear" w:color="auto" w:fill="C0C0C0"/>
          </w:tcPr>
          <w:p w:rsidR="007B2DD2" w:rsidRPr="00B15FA8" w:rsidRDefault="005756DB" w:rsidP="007B2DD2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rPr>
                <w:rFonts w:ascii="Arial" w:eastAsia="Times New Roman" w:hAnsi="Arial" w:cs="Arial"/>
                <w:b/>
                <w:i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M</w:t>
            </w:r>
            <w:r w:rsidR="007B5DC0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ilyon €</w:t>
            </w:r>
          </w:p>
        </w:tc>
        <w:tc>
          <w:tcPr>
            <w:tcW w:w="1410" w:type="dxa"/>
            <w:shd w:val="clear" w:color="auto" w:fill="C0C0C0"/>
          </w:tcPr>
          <w:p w:rsidR="007B2DD2" w:rsidRPr="00B15FA8" w:rsidRDefault="007B2DD2" w:rsidP="007B2DD2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aps w:val="0"/>
                <w:color w:val="auto"/>
                <w:spacing w:val="0"/>
                <w:sz w:val="18"/>
              </w:rPr>
              <w:t>2015</w:t>
            </w:r>
          </w:p>
        </w:tc>
        <w:tc>
          <w:tcPr>
            <w:tcW w:w="1427" w:type="dxa"/>
            <w:shd w:val="clear" w:color="auto" w:fill="C0C0C0"/>
          </w:tcPr>
          <w:p w:rsidR="007B2DD2" w:rsidRPr="00B15FA8" w:rsidRDefault="007B2DD2" w:rsidP="007B2DD2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aps w:val="0"/>
                <w:color w:val="auto"/>
                <w:spacing w:val="0"/>
                <w:sz w:val="18"/>
              </w:rPr>
              <w:t>2014</w:t>
            </w:r>
          </w:p>
        </w:tc>
        <w:tc>
          <w:tcPr>
            <w:tcW w:w="1275" w:type="dxa"/>
            <w:shd w:val="clear" w:color="auto" w:fill="C0C0C0"/>
          </w:tcPr>
          <w:p w:rsidR="007B2DD2" w:rsidRPr="00B15FA8" w:rsidRDefault="00EE3285" w:rsidP="007B2DD2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aps w:val="0"/>
                <w:color w:val="auto"/>
                <w:spacing w:val="0"/>
                <w:sz w:val="18"/>
              </w:rPr>
              <w:t xml:space="preserve">Değişim 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 w:right="212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Grup cirosu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45 327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41.055</w:t>
            </w:r>
          </w:p>
        </w:tc>
        <w:tc>
          <w:tcPr>
            <w:tcW w:w="1275" w:type="dxa"/>
          </w:tcPr>
          <w:p w:rsidR="00B839A1" w:rsidRPr="001846B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1846B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+4 272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 w:right="212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Faaliyet k</w:t>
            </w:r>
            <w:r w:rsidR="00943058" w:rsidRPr="00943058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â</w:t>
            </w: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rı</w:t>
            </w:r>
          </w:p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 w:right="212"/>
              <w:jc w:val="right"/>
              <w:rPr>
                <w:rFonts w:ascii="Arial" w:eastAsia="Times New Roman" w:hAnsi="Arial" w:cs="Arial"/>
                <w:i/>
                <w:iCs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Ciro %</w:t>
            </w:r>
          </w:p>
        </w:tc>
        <w:tc>
          <w:tcPr>
            <w:tcW w:w="1410" w:type="dxa"/>
            <w:shd w:val="clear" w:color="auto" w:fill="CCFFFF"/>
          </w:tcPr>
          <w:p w:rsidR="00B839A1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  <w:t>2 320</w:t>
            </w:r>
          </w:p>
          <w:p w:rsidR="00B839A1" w:rsidRPr="00613CAD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  <w:t>5,1 %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aps w:val="0"/>
                <w:color w:val="auto"/>
                <w:spacing w:val="0"/>
                <w:sz w:val="18"/>
              </w:rPr>
              <w:t>1.609</w:t>
            </w:r>
          </w:p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%3,9</w:t>
            </w:r>
          </w:p>
        </w:tc>
        <w:tc>
          <w:tcPr>
            <w:tcW w:w="1275" w:type="dxa"/>
          </w:tcPr>
          <w:p w:rsidR="00B839A1" w:rsidRPr="001846B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1846B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+711</w:t>
            </w:r>
          </w:p>
          <w:p w:rsidR="00B839A1" w:rsidRPr="001846B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1846B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+1,2pt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Diğer faaliyet gelir ve giderleri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-199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-504</w:t>
            </w:r>
          </w:p>
        </w:tc>
        <w:tc>
          <w:tcPr>
            <w:tcW w:w="1275" w:type="dxa"/>
          </w:tcPr>
          <w:p w:rsidR="00B839A1" w:rsidRPr="001F7F7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1F7F7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+305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943058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İşletme k</w:t>
            </w:r>
            <w:r w:rsidRPr="00943058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â</w:t>
            </w:r>
            <w:r w:rsidR="00B839A1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rı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2 121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1.105</w:t>
            </w:r>
          </w:p>
        </w:tc>
        <w:tc>
          <w:tcPr>
            <w:tcW w:w="1275" w:type="dxa"/>
          </w:tcPr>
          <w:p w:rsidR="00B839A1" w:rsidRPr="001F7F7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1F7F7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+1 016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943058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Net finansal k</w:t>
            </w:r>
            <w:r w:rsidRPr="00943058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â</w:t>
            </w:r>
            <w:r w:rsidR="00B839A1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r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-221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-333</w:t>
            </w:r>
          </w:p>
        </w:tc>
        <w:tc>
          <w:tcPr>
            <w:tcW w:w="1275" w:type="dxa"/>
          </w:tcPr>
          <w:p w:rsidR="00B839A1" w:rsidRPr="001F7F7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1F7F7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+112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39A1" w:rsidRPr="0017642D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highlight w:val="yellow"/>
                <w:lang w:eastAsia="fr-FR"/>
              </w:rPr>
            </w:pP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943058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Bağlı şirketlerin k</w:t>
            </w:r>
            <w:r w:rsidRPr="00943058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â</w:t>
            </w:r>
            <w:r w:rsidR="00B839A1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ra katkısı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1.362</w:t>
            </w: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48210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+9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 w:right="212"/>
              <w:rPr>
                <w:rFonts w:ascii="Arial" w:eastAsia="Times New Roman" w:hAnsi="Arial" w:cs="Arial"/>
                <w:i/>
                <w:iCs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o/</w:t>
            </w:r>
            <w:proofErr w:type="gramStart"/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w : NISSAN</w:t>
            </w:r>
            <w:proofErr w:type="gramEnd"/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  <w:t>1 976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1.559</w:t>
            </w: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48210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+417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720"/>
                <w:tab w:val="left" w:pos="922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right="210"/>
              <w:rPr>
                <w:rFonts w:ascii="Arial" w:eastAsia="Times New Roman" w:hAnsi="Arial" w:cs="Arial"/>
                <w:i/>
                <w:iCs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 xml:space="preserve">                    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AvtoVAZ</w:t>
            </w:r>
            <w:proofErr w:type="spellEnd"/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8"/>
                <w:lang w:eastAsia="fr-FR"/>
              </w:rPr>
              <w:t>-620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i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pacing w:val="0"/>
                <w:sz w:val="18"/>
              </w:rPr>
              <w:t>-182</w:t>
            </w: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48210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-438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 w:right="212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 w:right="212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Cari ve ertelenmiş vergiler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-311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-136</w:t>
            </w: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48210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-175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943058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Net k</w:t>
            </w:r>
            <w:r w:rsidRPr="00943058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â</w:t>
            </w:r>
            <w:r w:rsidR="00B839A1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r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2 960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1.998</w:t>
            </w: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48210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+962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943058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Net k</w:t>
            </w:r>
            <w:r w:rsidRPr="00943058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â</w:t>
            </w:r>
            <w:r w:rsidR="00B839A1"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r, Grup payı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2 823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1.890</w:t>
            </w:r>
          </w:p>
        </w:tc>
        <w:tc>
          <w:tcPr>
            <w:tcW w:w="1275" w:type="dxa"/>
          </w:tcPr>
          <w:p w:rsidR="00B839A1" w:rsidRPr="0048210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</w:pPr>
            <w:r w:rsidRPr="0048210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+933</w:t>
            </w:r>
          </w:p>
        </w:tc>
      </w:tr>
      <w:tr w:rsidR="00B839A1" w:rsidRPr="00B15FA8" w:rsidTr="004761B5">
        <w:tc>
          <w:tcPr>
            <w:tcW w:w="4847" w:type="dxa"/>
          </w:tcPr>
          <w:p w:rsidR="00B839A1" w:rsidRPr="00B15FA8" w:rsidRDefault="00B839A1" w:rsidP="00B839A1">
            <w:pPr>
              <w:tabs>
                <w:tab w:val="left" w:pos="270"/>
                <w:tab w:val="left" w:pos="360"/>
                <w:tab w:val="left" w:pos="630"/>
                <w:tab w:val="left" w:pos="720"/>
                <w:tab w:val="left" w:pos="5380"/>
                <w:tab w:val="left" w:pos="8080"/>
              </w:tabs>
              <w:overflowPunct w:val="0"/>
              <w:autoSpaceDE w:val="0"/>
              <w:autoSpaceDN w:val="0"/>
              <w:adjustRightInd w:val="0"/>
              <w:ind w:left="567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Otomobil biriminin nakit fazlası</w:t>
            </w:r>
          </w:p>
        </w:tc>
        <w:tc>
          <w:tcPr>
            <w:tcW w:w="1410" w:type="dxa"/>
            <w:shd w:val="clear" w:color="auto" w:fill="CCFFFF"/>
          </w:tcPr>
          <w:p w:rsidR="00B839A1" w:rsidRPr="00715393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1427" w:type="dxa"/>
          </w:tcPr>
          <w:p w:rsidR="00B839A1" w:rsidRPr="00B15FA8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caps w:val="0"/>
                <w:color w:val="auto"/>
                <w:spacing w:val="0"/>
                <w:sz w:val="18"/>
              </w:rPr>
              <w:t>1.083</w:t>
            </w:r>
          </w:p>
        </w:tc>
        <w:tc>
          <w:tcPr>
            <w:tcW w:w="1275" w:type="dxa"/>
          </w:tcPr>
          <w:p w:rsidR="00B839A1" w:rsidRPr="0017642D" w:rsidRDefault="00B839A1" w:rsidP="00B839A1">
            <w:pPr>
              <w:tabs>
                <w:tab w:val="left" w:pos="5380"/>
                <w:tab w:val="left" w:pos="8080"/>
              </w:tabs>
              <w:ind w:left="-71"/>
              <w:jc w:val="center"/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highlight w:val="yellow"/>
                <w:lang w:eastAsia="fr-FR"/>
              </w:rPr>
            </w:pPr>
            <w:r w:rsidRPr="001F7F73">
              <w:rPr>
                <w:rFonts w:ascii="Arial" w:eastAsia="Times New Roman" w:hAnsi="Arial" w:cs="Arial"/>
                <w:b/>
                <w:i/>
                <w:caps w:val="0"/>
                <w:color w:val="auto"/>
                <w:spacing w:val="0"/>
                <w:szCs w:val="16"/>
                <w:lang w:eastAsia="fr-FR"/>
              </w:rPr>
              <w:t>-50</w:t>
            </w:r>
          </w:p>
        </w:tc>
      </w:tr>
    </w:tbl>
    <w:p w:rsidR="007B2DD2" w:rsidRPr="00B15FA8" w:rsidRDefault="007B2DD2" w:rsidP="007B2DD2">
      <w:pPr>
        <w:jc w:val="both"/>
        <w:rPr>
          <w:rFonts w:ascii="Arial Narrow" w:hAnsi="Arial Narrow"/>
          <w:b/>
          <w:caps w:val="0"/>
          <w:color w:val="000000" w:themeColor="text1"/>
          <w:sz w:val="20"/>
          <w:szCs w:val="20"/>
        </w:rPr>
      </w:pPr>
    </w:p>
    <w:p w:rsidR="007B2DD2" w:rsidRPr="00B15FA8" w:rsidRDefault="007B2DD2" w:rsidP="007B2DD2">
      <w:pPr>
        <w:jc w:val="both"/>
        <w:rPr>
          <w:rFonts w:ascii="Arial Narrow" w:hAnsi="Arial Narrow"/>
          <w:b/>
          <w:caps w:val="0"/>
          <w:color w:val="000000" w:themeColor="text1"/>
          <w:sz w:val="20"/>
          <w:szCs w:val="20"/>
        </w:rPr>
      </w:pPr>
      <w:r>
        <w:rPr>
          <w:rFonts w:ascii="Arial Narrow" w:hAnsi="Arial Narrow"/>
          <w:b/>
          <w:caps w:val="0"/>
          <w:color w:val="000000" w:themeColor="text1"/>
          <w:sz w:val="20"/>
        </w:rPr>
        <w:t>EK BİLGİLER</w:t>
      </w:r>
    </w:p>
    <w:p w:rsidR="007B2DD2" w:rsidRPr="00B15FA8" w:rsidRDefault="007B2DD2" w:rsidP="007B2DD2">
      <w:pPr>
        <w:jc w:val="both"/>
        <w:rPr>
          <w:rFonts w:ascii="Arial" w:hAnsi="Arial" w:cs="Arial"/>
          <w:caps w:val="0"/>
          <w:color w:val="000000" w:themeColor="text1"/>
          <w:szCs w:val="18"/>
        </w:rPr>
      </w:pPr>
      <w:r>
        <w:rPr>
          <w:rFonts w:ascii="Arial" w:hAnsi="Arial"/>
          <w:caps w:val="0"/>
          <w:color w:val="000000" w:themeColor="text1"/>
        </w:rPr>
        <w:t xml:space="preserve">Renault Grubu'nun 31 Aralık 2015 tarihli </w:t>
      </w:r>
      <w:proofErr w:type="gramStart"/>
      <w:r>
        <w:rPr>
          <w:rFonts w:ascii="Arial" w:hAnsi="Arial"/>
          <w:caps w:val="0"/>
          <w:color w:val="000000" w:themeColor="text1"/>
        </w:rPr>
        <w:t>konsolide</w:t>
      </w:r>
      <w:proofErr w:type="gramEnd"/>
      <w:r>
        <w:rPr>
          <w:rFonts w:ascii="Arial" w:hAnsi="Arial"/>
          <w:caps w:val="0"/>
          <w:color w:val="000000" w:themeColor="text1"/>
        </w:rPr>
        <w:t xml:space="preserve"> </w:t>
      </w:r>
      <w:r w:rsidR="00276063">
        <w:rPr>
          <w:rFonts w:ascii="Arial" w:hAnsi="Arial"/>
          <w:caps w:val="0"/>
          <w:color w:val="000000" w:themeColor="text1"/>
        </w:rPr>
        <w:t>finansal tabloları</w:t>
      </w:r>
      <w:r>
        <w:rPr>
          <w:rFonts w:ascii="Arial" w:hAnsi="Arial"/>
          <w:caps w:val="0"/>
          <w:color w:val="000000" w:themeColor="text1"/>
        </w:rPr>
        <w:t xml:space="preserve"> 11 Şubat 2016 tarihinde </w:t>
      </w:r>
      <w:r w:rsidR="00276063">
        <w:rPr>
          <w:rFonts w:ascii="Arial" w:hAnsi="Arial"/>
          <w:caps w:val="0"/>
          <w:color w:val="000000" w:themeColor="text1"/>
        </w:rPr>
        <w:t xml:space="preserve">Yönetim Kurulu tarafından </w:t>
      </w:r>
      <w:r>
        <w:rPr>
          <w:rFonts w:ascii="Arial" w:hAnsi="Arial"/>
          <w:caps w:val="0"/>
          <w:color w:val="000000" w:themeColor="text1"/>
        </w:rPr>
        <w:t xml:space="preserve">onaylanmıştır. </w:t>
      </w:r>
    </w:p>
    <w:p w:rsidR="007B2DD2" w:rsidRPr="00B15FA8" w:rsidRDefault="007B2DD2" w:rsidP="007B2DD2">
      <w:pPr>
        <w:jc w:val="both"/>
        <w:rPr>
          <w:rFonts w:ascii="Arial" w:hAnsi="Arial" w:cs="Arial"/>
          <w:caps w:val="0"/>
          <w:color w:val="000000" w:themeColor="text1"/>
          <w:szCs w:val="18"/>
        </w:rPr>
      </w:pPr>
      <w:r>
        <w:rPr>
          <w:rFonts w:ascii="Arial" w:hAnsi="Arial"/>
          <w:caps w:val="0"/>
          <w:color w:val="000000" w:themeColor="text1"/>
        </w:rPr>
        <w:t xml:space="preserve">Grubun yasal denetçileri bu mali bilançoları sınırlı olarak gözden geçirmişlerdir ve raporları kısa sürede yayımlanacaktır. </w:t>
      </w:r>
    </w:p>
    <w:p w:rsidR="007B2DD2" w:rsidRPr="00B15FA8" w:rsidRDefault="007B2DD2" w:rsidP="007B2DD2">
      <w:pPr>
        <w:jc w:val="both"/>
        <w:rPr>
          <w:rFonts w:ascii="Arial" w:hAnsi="Arial" w:cs="Arial"/>
          <w:caps w:val="0"/>
          <w:color w:val="000000" w:themeColor="text1"/>
          <w:szCs w:val="18"/>
        </w:rPr>
      </w:pPr>
      <w:r>
        <w:rPr>
          <w:rFonts w:ascii="Arial" w:hAnsi="Arial"/>
          <w:caps w:val="0"/>
          <w:color w:val="000000" w:themeColor="text1"/>
        </w:rPr>
        <w:t xml:space="preserve">Kar-zarar çizelgesi, 2015 yılındaki mali sonuçların tam analizi ile birlikte, </w:t>
      </w:r>
      <w:hyperlink r:id="rId8">
        <w:r>
          <w:rPr>
            <w:rFonts w:ascii="Arial" w:hAnsi="Arial"/>
            <w:caps w:val="0"/>
            <w:color w:val="000000" w:themeColor="text1"/>
          </w:rPr>
          <w:t>www.group.renault.com</w:t>
        </w:r>
      </w:hyperlink>
      <w:r>
        <w:rPr>
          <w:rFonts w:ascii="Arial" w:hAnsi="Arial"/>
          <w:caps w:val="0"/>
          <w:color w:val="000000" w:themeColor="text1"/>
        </w:rPr>
        <w:t xml:space="preserve"> sitesinde Maliye(Finance) bölümünde mevcuttur.</w:t>
      </w:r>
    </w:p>
    <w:p w:rsidR="007B2DD2" w:rsidRPr="00B15FA8" w:rsidRDefault="007B2DD2" w:rsidP="00361479">
      <w:pPr>
        <w:jc w:val="both"/>
        <w:rPr>
          <w:rFonts w:ascii="Arial" w:eastAsia="Times New Roman" w:hAnsi="Arial" w:cs="Arial"/>
          <w:caps w:val="0"/>
          <w:color w:val="auto"/>
          <w:spacing w:val="0"/>
          <w:sz w:val="20"/>
          <w:szCs w:val="20"/>
        </w:rPr>
      </w:pPr>
      <w:r>
        <w:tab/>
      </w:r>
    </w:p>
    <w:p w:rsidR="004761B5" w:rsidRPr="00B15FA8" w:rsidRDefault="0050019E" w:rsidP="0050019E">
      <w:pPr>
        <w:rPr>
          <w:rFonts w:ascii="Arial" w:hAnsi="Arial"/>
          <w:caps w:val="0"/>
          <w:color w:val="auto"/>
          <w:spacing w:val="0"/>
          <w:sz w:val="20"/>
        </w:rPr>
      </w:pPr>
      <w:r>
        <w:rPr>
          <w:b/>
          <w:color w:val="auto"/>
        </w:rPr>
        <w:t xml:space="preserve">Basınla iletişim: </w:t>
      </w:r>
      <w:r w:rsidR="004761B5">
        <w:rPr>
          <w:b/>
          <w:color w:val="auto"/>
        </w:rPr>
        <w:t xml:space="preserve">Renault, </w:t>
      </w:r>
      <w:r>
        <w:rPr>
          <w:b/>
          <w:color w:val="auto"/>
        </w:rPr>
        <w:t>press</w:t>
      </w:r>
      <w:r>
        <w:rPr>
          <w:rFonts w:ascii="Arial" w:hAnsi="Arial"/>
          <w:b/>
          <w:caps w:val="0"/>
          <w:color w:val="auto"/>
          <w:spacing w:val="0"/>
          <w:sz w:val="18"/>
        </w:rPr>
        <w:t xml:space="preserve">, </w:t>
      </w:r>
      <w:proofErr w:type="spellStart"/>
      <w:r w:rsidR="004761B5">
        <w:rPr>
          <w:rFonts w:ascii="Arial" w:hAnsi="Arial"/>
          <w:b/>
          <w:caps w:val="0"/>
          <w:color w:val="auto"/>
          <w:spacing w:val="0"/>
          <w:sz w:val="20"/>
        </w:rPr>
        <w:t>Hélène</w:t>
      </w:r>
      <w:proofErr w:type="spellEnd"/>
      <w:r w:rsidR="004761B5">
        <w:rPr>
          <w:rFonts w:ascii="Arial" w:hAnsi="Arial"/>
          <w:b/>
          <w:caps w:val="0"/>
          <w:color w:val="auto"/>
          <w:spacing w:val="0"/>
          <w:sz w:val="20"/>
        </w:rPr>
        <w:t xml:space="preserve"> </w:t>
      </w:r>
      <w:proofErr w:type="spellStart"/>
      <w:r w:rsidR="004761B5">
        <w:rPr>
          <w:rFonts w:ascii="Arial" w:hAnsi="Arial"/>
          <w:b/>
          <w:caps w:val="0"/>
          <w:color w:val="auto"/>
          <w:spacing w:val="0"/>
          <w:sz w:val="20"/>
        </w:rPr>
        <w:t>Mazier</w:t>
      </w:r>
      <w:proofErr w:type="spellEnd"/>
      <w:r>
        <w:rPr>
          <w:rFonts w:ascii="Arial" w:hAnsi="Arial"/>
          <w:b/>
          <w:caps w:val="0"/>
          <w:color w:val="auto"/>
          <w:spacing w:val="0"/>
          <w:sz w:val="20"/>
        </w:rPr>
        <w:t xml:space="preserve"> </w:t>
      </w:r>
      <w:r w:rsidR="004761B5">
        <w:rPr>
          <w:rFonts w:ascii="Arial" w:hAnsi="Arial"/>
          <w:caps w:val="0"/>
          <w:color w:val="auto"/>
          <w:spacing w:val="0"/>
          <w:sz w:val="20"/>
        </w:rPr>
        <w:t>+33 1 76 84 39 59</w:t>
      </w:r>
    </w:p>
    <w:p w:rsidR="004761B5" w:rsidRPr="00B15FA8" w:rsidRDefault="004761B5" w:rsidP="008A77FC">
      <w:pPr>
        <w:widowControl w:val="0"/>
        <w:spacing w:before="16"/>
        <w:ind w:right="-20"/>
        <w:rPr>
          <w:rFonts w:ascii="Arial" w:hAnsi="Arial"/>
          <w:caps w:val="0"/>
          <w:color w:val="auto"/>
          <w:spacing w:val="0"/>
        </w:rPr>
      </w:pPr>
      <w:r>
        <w:rPr>
          <w:rFonts w:ascii="Arial" w:hAnsi="Arial"/>
          <w:caps w:val="0"/>
          <w:color w:val="auto"/>
          <w:spacing w:val="0"/>
        </w:rPr>
        <w:t xml:space="preserve">WEB SİTESİ: </w:t>
      </w:r>
      <w:hyperlink r:id="rId9" w:history="1">
        <w:r w:rsidR="0050019E" w:rsidRPr="009230B2">
          <w:rPr>
            <w:rStyle w:val="Kpr"/>
            <w:rFonts w:ascii="Arial" w:hAnsi="Arial"/>
            <w:caps w:val="0"/>
            <w:spacing w:val="0"/>
          </w:rPr>
          <w:t>http://group.renault.com/groupe</w:t>
        </w:r>
      </w:hyperlink>
      <w:r w:rsidR="0050019E">
        <w:rPr>
          <w:rFonts w:ascii="Arial" w:hAnsi="Arial"/>
          <w:caps w:val="0"/>
          <w:color w:val="0000FF"/>
          <w:spacing w:val="0"/>
          <w:u w:val="single"/>
        </w:rPr>
        <w:t xml:space="preserve">   </w:t>
      </w:r>
      <w:r>
        <w:rPr>
          <w:rFonts w:ascii="Arial" w:hAnsi="Arial"/>
          <w:caps w:val="0"/>
          <w:color w:val="0000FF"/>
          <w:spacing w:val="0"/>
          <w:u w:val="single"/>
        </w:rPr>
        <w:t>http://media.renault.com/</w:t>
      </w:r>
      <w:proofErr w:type="gramStart"/>
      <w:r>
        <w:rPr>
          <w:rFonts w:ascii="Arial" w:hAnsi="Arial"/>
          <w:caps w:val="0"/>
          <w:color w:val="0000FF"/>
          <w:spacing w:val="0"/>
          <w:u w:val="single"/>
        </w:rPr>
        <w:t>global</w:t>
      </w:r>
      <w:proofErr w:type="gramEnd"/>
      <w:r>
        <w:rPr>
          <w:rFonts w:ascii="Arial" w:hAnsi="Arial"/>
          <w:caps w:val="0"/>
          <w:color w:val="0000FF"/>
          <w:spacing w:val="0"/>
          <w:u w:val="single"/>
        </w:rPr>
        <w:t>/fr-fr/latestnews.aspx</w:t>
      </w:r>
    </w:p>
    <w:p w:rsidR="00EE3285" w:rsidRPr="00B15FA8" w:rsidRDefault="004761B5" w:rsidP="0050019E">
      <w:pPr>
        <w:widowControl w:val="0"/>
        <w:spacing w:before="16"/>
        <w:ind w:right="-20"/>
        <w:rPr>
          <w:rFonts w:eastAsia="Times New Roman"/>
          <w:b/>
          <w:bCs/>
          <w:szCs w:val="20"/>
        </w:rPr>
      </w:pPr>
      <w:r>
        <w:rPr>
          <w:rFonts w:ascii="Arial" w:hAnsi="Arial"/>
          <w:caps w:val="0"/>
          <w:color w:val="auto"/>
          <w:spacing w:val="0"/>
        </w:rPr>
        <w:t>Bizi takip edin: @</w:t>
      </w:r>
      <w:proofErr w:type="spellStart"/>
      <w:r>
        <w:rPr>
          <w:rFonts w:ascii="Arial" w:hAnsi="Arial"/>
          <w:caps w:val="0"/>
          <w:color w:val="auto"/>
          <w:spacing w:val="0"/>
        </w:rPr>
        <w:t>Groupe_Renault</w:t>
      </w:r>
      <w:proofErr w:type="spellEnd"/>
    </w:p>
    <w:p w:rsidR="00EE3285" w:rsidRPr="00B15FA8" w:rsidRDefault="00EE3285" w:rsidP="00EE3285">
      <w:pPr>
        <w:spacing w:after="120"/>
        <w:rPr>
          <w:rFonts w:eastAsia="Times New Roman"/>
          <w:szCs w:val="20"/>
        </w:rPr>
      </w:pPr>
      <w:r>
        <w:rPr>
          <w:b/>
        </w:rPr>
        <w:t xml:space="preserve">Hélène Mazier </w:t>
      </w:r>
      <w:r>
        <w:t>+33 1 76 84 39 59 / +33 6 45 51 50 30</w:t>
      </w:r>
    </w:p>
    <w:p w:rsidR="00EE3285" w:rsidRPr="00B15FA8" w:rsidRDefault="00EE3285" w:rsidP="00361479">
      <w:pPr>
        <w:jc w:val="both"/>
        <w:rPr>
          <w:rFonts w:ascii="Arial" w:eastAsia="Times New Roman" w:hAnsi="Arial" w:cs="Arial"/>
          <w:caps w:val="0"/>
          <w:color w:val="auto"/>
          <w:spacing w:val="0"/>
          <w:sz w:val="20"/>
          <w:szCs w:val="20"/>
        </w:rPr>
      </w:pPr>
    </w:p>
    <w:sectPr w:rsidR="00EE3285" w:rsidRPr="00B15FA8" w:rsidSect="007A2571">
      <w:headerReference w:type="default" r:id="rId10"/>
      <w:headerReference w:type="first" r:id="rId11"/>
      <w:pgSz w:w="11900" w:h="16840"/>
      <w:pgMar w:top="3402" w:right="567" w:bottom="1418" w:left="1843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2E" w:rsidRDefault="00D57B2E">
      <w:r>
        <w:separator/>
      </w:r>
    </w:p>
  </w:endnote>
  <w:endnote w:type="continuationSeparator" w:id="0">
    <w:p w:rsidR="00D57B2E" w:rsidRDefault="00D57B2E">
      <w:r>
        <w:continuationSeparator/>
      </w:r>
    </w:p>
  </w:endnote>
  <w:endnote w:type="continuationNotice" w:id="1">
    <w:p w:rsidR="00D57B2E" w:rsidRDefault="00D57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vantGarde-Demi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2E" w:rsidRDefault="00D57B2E">
      <w:r>
        <w:separator/>
      </w:r>
    </w:p>
  </w:footnote>
  <w:footnote w:type="continuationSeparator" w:id="0">
    <w:p w:rsidR="00D57B2E" w:rsidRDefault="00D57B2E">
      <w:r>
        <w:continuationSeparator/>
      </w:r>
    </w:p>
  </w:footnote>
  <w:footnote w:type="continuationNotice" w:id="1">
    <w:p w:rsidR="00D57B2E" w:rsidRDefault="00D57B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150" w:rsidRDefault="00CD5150">
    <w:r>
      <w:rPr>
        <w:noProof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711200"/>
          <wp:effectExtent l="25400" t="0" r="10160" b="0"/>
          <wp:wrapNone/>
          <wp:docPr id="7" name="Image 7" descr="Logotypes_Press rele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s_Press releas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150" w:rsidRPr="007A2571" w:rsidRDefault="00CD5150" w:rsidP="007A2571">
    <w:pPr>
      <w:pStyle w:val="stbilgi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711200"/>
          <wp:effectExtent l="25400" t="0" r="10160" b="0"/>
          <wp:wrapNone/>
          <wp:docPr id="9" name="Image 9" descr="Logotypes_Press rele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s_Press releas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B28FE"/>
    <w:multiLevelType w:val="hybridMultilevel"/>
    <w:tmpl w:val="C14625CA"/>
    <w:lvl w:ilvl="0" w:tplc="6456BC0C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DB048D0"/>
    <w:multiLevelType w:val="hybridMultilevel"/>
    <w:tmpl w:val="3DA2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CBE"/>
    <w:multiLevelType w:val="hybridMultilevel"/>
    <w:tmpl w:val="56322A76"/>
    <w:lvl w:ilvl="0" w:tplc="EF4CFEBA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A7495"/>
    <w:multiLevelType w:val="hybridMultilevel"/>
    <w:tmpl w:val="C95C4B42"/>
    <w:lvl w:ilvl="0" w:tplc="E4144E92">
      <w:start w:val="18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  <w:color w:val="00B05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136B9"/>
    <w:multiLevelType w:val="hybridMultilevel"/>
    <w:tmpl w:val="D2F6B57E"/>
    <w:lvl w:ilvl="0" w:tplc="58808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ac81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BA"/>
    <w:rsid w:val="00004CE0"/>
    <w:rsid w:val="00015EB7"/>
    <w:rsid w:val="0003340E"/>
    <w:rsid w:val="0003374D"/>
    <w:rsid w:val="00034BCD"/>
    <w:rsid w:val="000358F0"/>
    <w:rsid w:val="00037865"/>
    <w:rsid w:val="000517AB"/>
    <w:rsid w:val="00057B80"/>
    <w:rsid w:val="00096224"/>
    <w:rsid w:val="000A29D5"/>
    <w:rsid w:val="000B11AC"/>
    <w:rsid w:val="000F1E18"/>
    <w:rsid w:val="001010DA"/>
    <w:rsid w:val="0010181B"/>
    <w:rsid w:val="0010505D"/>
    <w:rsid w:val="001067AF"/>
    <w:rsid w:val="00120621"/>
    <w:rsid w:val="00144637"/>
    <w:rsid w:val="001617BA"/>
    <w:rsid w:val="00181098"/>
    <w:rsid w:val="0018564C"/>
    <w:rsid w:val="00187021"/>
    <w:rsid w:val="001919D3"/>
    <w:rsid w:val="001A611E"/>
    <w:rsid w:val="001B3EF4"/>
    <w:rsid w:val="001C08BB"/>
    <w:rsid w:val="001C6192"/>
    <w:rsid w:val="001D29C2"/>
    <w:rsid w:val="001E4639"/>
    <w:rsid w:val="001E692C"/>
    <w:rsid w:val="00223DC5"/>
    <w:rsid w:val="00257572"/>
    <w:rsid w:val="002716D6"/>
    <w:rsid w:val="002717A5"/>
    <w:rsid w:val="00276063"/>
    <w:rsid w:val="002763C3"/>
    <w:rsid w:val="002810AA"/>
    <w:rsid w:val="00287C9E"/>
    <w:rsid w:val="002937E7"/>
    <w:rsid w:val="00294512"/>
    <w:rsid w:val="002B6A54"/>
    <w:rsid w:val="002B789A"/>
    <w:rsid w:val="002D3210"/>
    <w:rsid w:val="002D6203"/>
    <w:rsid w:val="002F0B0C"/>
    <w:rsid w:val="002F4AB6"/>
    <w:rsid w:val="003027DD"/>
    <w:rsid w:val="003047B4"/>
    <w:rsid w:val="00307A17"/>
    <w:rsid w:val="00314BF4"/>
    <w:rsid w:val="0032418D"/>
    <w:rsid w:val="00325D63"/>
    <w:rsid w:val="00330102"/>
    <w:rsid w:val="003516E6"/>
    <w:rsid w:val="00361479"/>
    <w:rsid w:val="003678AF"/>
    <w:rsid w:val="003730D6"/>
    <w:rsid w:val="0038671F"/>
    <w:rsid w:val="003A37A9"/>
    <w:rsid w:val="003A47BA"/>
    <w:rsid w:val="003A6C1B"/>
    <w:rsid w:val="003B40E9"/>
    <w:rsid w:val="003B6CBA"/>
    <w:rsid w:val="003C11FF"/>
    <w:rsid w:val="003D55B7"/>
    <w:rsid w:val="003D591F"/>
    <w:rsid w:val="003D75A8"/>
    <w:rsid w:val="003D7B76"/>
    <w:rsid w:val="00402294"/>
    <w:rsid w:val="00405365"/>
    <w:rsid w:val="004157E2"/>
    <w:rsid w:val="0043149B"/>
    <w:rsid w:val="0043654C"/>
    <w:rsid w:val="00444424"/>
    <w:rsid w:val="00451DA0"/>
    <w:rsid w:val="00462AD6"/>
    <w:rsid w:val="0046736D"/>
    <w:rsid w:val="00471230"/>
    <w:rsid w:val="00472F5D"/>
    <w:rsid w:val="004761B5"/>
    <w:rsid w:val="00476E20"/>
    <w:rsid w:val="0048005E"/>
    <w:rsid w:val="00482F9D"/>
    <w:rsid w:val="00486B4C"/>
    <w:rsid w:val="004C0A8D"/>
    <w:rsid w:val="004C2505"/>
    <w:rsid w:val="004D188C"/>
    <w:rsid w:val="004D41BC"/>
    <w:rsid w:val="004E40E8"/>
    <w:rsid w:val="004F0830"/>
    <w:rsid w:val="004F1DF3"/>
    <w:rsid w:val="004F61A5"/>
    <w:rsid w:val="0050019E"/>
    <w:rsid w:val="00501958"/>
    <w:rsid w:val="00510AD8"/>
    <w:rsid w:val="00520B53"/>
    <w:rsid w:val="00534BBA"/>
    <w:rsid w:val="00540E64"/>
    <w:rsid w:val="0054388B"/>
    <w:rsid w:val="00550D2F"/>
    <w:rsid w:val="005628A0"/>
    <w:rsid w:val="005756DB"/>
    <w:rsid w:val="0058135E"/>
    <w:rsid w:val="00584854"/>
    <w:rsid w:val="00590215"/>
    <w:rsid w:val="00596ECF"/>
    <w:rsid w:val="005B0560"/>
    <w:rsid w:val="005B4920"/>
    <w:rsid w:val="005B6196"/>
    <w:rsid w:val="005B6E53"/>
    <w:rsid w:val="005C101A"/>
    <w:rsid w:val="005C4678"/>
    <w:rsid w:val="005C7128"/>
    <w:rsid w:val="005E47E0"/>
    <w:rsid w:val="005E58FA"/>
    <w:rsid w:val="005F101D"/>
    <w:rsid w:val="005F10C0"/>
    <w:rsid w:val="005F5F80"/>
    <w:rsid w:val="00605B82"/>
    <w:rsid w:val="00606F78"/>
    <w:rsid w:val="00613539"/>
    <w:rsid w:val="00613CAD"/>
    <w:rsid w:val="0062319C"/>
    <w:rsid w:val="00641A16"/>
    <w:rsid w:val="00653468"/>
    <w:rsid w:val="0066176D"/>
    <w:rsid w:val="006619AB"/>
    <w:rsid w:val="00691477"/>
    <w:rsid w:val="006959FC"/>
    <w:rsid w:val="006A69BE"/>
    <w:rsid w:val="006B1050"/>
    <w:rsid w:val="006B5FB4"/>
    <w:rsid w:val="006B668E"/>
    <w:rsid w:val="006B7000"/>
    <w:rsid w:val="006C1018"/>
    <w:rsid w:val="006D36E9"/>
    <w:rsid w:val="006D383D"/>
    <w:rsid w:val="006D38B5"/>
    <w:rsid w:val="006D4355"/>
    <w:rsid w:val="006F09E9"/>
    <w:rsid w:val="006F4286"/>
    <w:rsid w:val="007011EA"/>
    <w:rsid w:val="007118A0"/>
    <w:rsid w:val="00715393"/>
    <w:rsid w:val="007244B5"/>
    <w:rsid w:val="00726E49"/>
    <w:rsid w:val="0073333C"/>
    <w:rsid w:val="007410CE"/>
    <w:rsid w:val="00744CB0"/>
    <w:rsid w:val="00747F38"/>
    <w:rsid w:val="00756D7E"/>
    <w:rsid w:val="007577D9"/>
    <w:rsid w:val="0076571B"/>
    <w:rsid w:val="00785BCE"/>
    <w:rsid w:val="007860AC"/>
    <w:rsid w:val="007921AD"/>
    <w:rsid w:val="00792507"/>
    <w:rsid w:val="007A14C0"/>
    <w:rsid w:val="007A2571"/>
    <w:rsid w:val="007A4D4C"/>
    <w:rsid w:val="007B2DD2"/>
    <w:rsid w:val="007B5DC0"/>
    <w:rsid w:val="007D09FA"/>
    <w:rsid w:val="007D5C24"/>
    <w:rsid w:val="007E5061"/>
    <w:rsid w:val="008014FF"/>
    <w:rsid w:val="00804D97"/>
    <w:rsid w:val="00804E2F"/>
    <w:rsid w:val="00807A87"/>
    <w:rsid w:val="00810C0E"/>
    <w:rsid w:val="00825356"/>
    <w:rsid w:val="0084338E"/>
    <w:rsid w:val="00844B3B"/>
    <w:rsid w:val="008460AD"/>
    <w:rsid w:val="008500CB"/>
    <w:rsid w:val="00854944"/>
    <w:rsid w:val="008748F5"/>
    <w:rsid w:val="008948A2"/>
    <w:rsid w:val="008A77FC"/>
    <w:rsid w:val="008A7EF4"/>
    <w:rsid w:val="008B1B5A"/>
    <w:rsid w:val="008C3260"/>
    <w:rsid w:val="008E56DF"/>
    <w:rsid w:val="008F044B"/>
    <w:rsid w:val="009026AE"/>
    <w:rsid w:val="0091263E"/>
    <w:rsid w:val="009155AE"/>
    <w:rsid w:val="00915DE6"/>
    <w:rsid w:val="009272BD"/>
    <w:rsid w:val="00936D68"/>
    <w:rsid w:val="00941340"/>
    <w:rsid w:val="00943058"/>
    <w:rsid w:val="0094400C"/>
    <w:rsid w:val="00952144"/>
    <w:rsid w:val="00964FE9"/>
    <w:rsid w:val="00966E77"/>
    <w:rsid w:val="00974F5E"/>
    <w:rsid w:val="009C16E2"/>
    <w:rsid w:val="009C5094"/>
    <w:rsid w:val="009C6720"/>
    <w:rsid w:val="009C7428"/>
    <w:rsid w:val="009D0AC4"/>
    <w:rsid w:val="009D3CBA"/>
    <w:rsid w:val="009E35C5"/>
    <w:rsid w:val="00A00B50"/>
    <w:rsid w:val="00A021B7"/>
    <w:rsid w:val="00A11E29"/>
    <w:rsid w:val="00A13AD6"/>
    <w:rsid w:val="00A204BD"/>
    <w:rsid w:val="00A311B6"/>
    <w:rsid w:val="00A34D65"/>
    <w:rsid w:val="00A3593F"/>
    <w:rsid w:val="00A546D0"/>
    <w:rsid w:val="00A54F12"/>
    <w:rsid w:val="00A627EC"/>
    <w:rsid w:val="00A718FB"/>
    <w:rsid w:val="00A733B8"/>
    <w:rsid w:val="00A834A7"/>
    <w:rsid w:val="00A841DF"/>
    <w:rsid w:val="00A85132"/>
    <w:rsid w:val="00AA3600"/>
    <w:rsid w:val="00AB4D32"/>
    <w:rsid w:val="00AC0AF6"/>
    <w:rsid w:val="00AC24CC"/>
    <w:rsid w:val="00AD6E91"/>
    <w:rsid w:val="00AF23E9"/>
    <w:rsid w:val="00AF58BD"/>
    <w:rsid w:val="00B011B5"/>
    <w:rsid w:val="00B1273B"/>
    <w:rsid w:val="00B128F7"/>
    <w:rsid w:val="00B14BA7"/>
    <w:rsid w:val="00B15FA8"/>
    <w:rsid w:val="00B164C6"/>
    <w:rsid w:val="00B46CE3"/>
    <w:rsid w:val="00B476F6"/>
    <w:rsid w:val="00B62556"/>
    <w:rsid w:val="00B728B5"/>
    <w:rsid w:val="00B75119"/>
    <w:rsid w:val="00B825A8"/>
    <w:rsid w:val="00B839A1"/>
    <w:rsid w:val="00B877F9"/>
    <w:rsid w:val="00B9179D"/>
    <w:rsid w:val="00B953F3"/>
    <w:rsid w:val="00B956E0"/>
    <w:rsid w:val="00BD2C9F"/>
    <w:rsid w:val="00BE2EEF"/>
    <w:rsid w:val="00BE5F5C"/>
    <w:rsid w:val="00C06C6B"/>
    <w:rsid w:val="00C35B84"/>
    <w:rsid w:val="00C42C97"/>
    <w:rsid w:val="00C4655F"/>
    <w:rsid w:val="00C5080D"/>
    <w:rsid w:val="00C5231B"/>
    <w:rsid w:val="00C57BAE"/>
    <w:rsid w:val="00C668C1"/>
    <w:rsid w:val="00C72A97"/>
    <w:rsid w:val="00C74201"/>
    <w:rsid w:val="00C8362D"/>
    <w:rsid w:val="00C9101D"/>
    <w:rsid w:val="00C930E3"/>
    <w:rsid w:val="00CC090F"/>
    <w:rsid w:val="00CC43D1"/>
    <w:rsid w:val="00CC5D02"/>
    <w:rsid w:val="00CD031C"/>
    <w:rsid w:val="00CD116F"/>
    <w:rsid w:val="00CD5150"/>
    <w:rsid w:val="00CD7461"/>
    <w:rsid w:val="00CE31F1"/>
    <w:rsid w:val="00CF2C5D"/>
    <w:rsid w:val="00D13E86"/>
    <w:rsid w:val="00D226DB"/>
    <w:rsid w:val="00D23D9A"/>
    <w:rsid w:val="00D27376"/>
    <w:rsid w:val="00D31A0D"/>
    <w:rsid w:val="00D34A3A"/>
    <w:rsid w:val="00D34E21"/>
    <w:rsid w:val="00D37452"/>
    <w:rsid w:val="00D47205"/>
    <w:rsid w:val="00D53E5D"/>
    <w:rsid w:val="00D57B2E"/>
    <w:rsid w:val="00D66ACD"/>
    <w:rsid w:val="00D96639"/>
    <w:rsid w:val="00DC231D"/>
    <w:rsid w:val="00DC4907"/>
    <w:rsid w:val="00DC5895"/>
    <w:rsid w:val="00DE08D3"/>
    <w:rsid w:val="00E103BF"/>
    <w:rsid w:val="00E14B78"/>
    <w:rsid w:val="00E53FF5"/>
    <w:rsid w:val="00E571F2"/>
    <w:rsid w:val="00E60FA0"/>
    <w:rsid w:val="00E719F9"/>
    <w:rsid w:val="00E74ED0"/>
    <w:rsid w:val="00E942B9"/>
    <w:rsid w:val="00E96529"/>
    <w:rsid w:val="00EB0A5B"/>
    <w:rsid w:val="00EE3285"/>
    <w:rsid w:val="00EE659B"/>
    <w:rsid w:val="00EE678B"/>
    <w:rsid w:val="00F04392"/>
    <w:rsid w:val="00F07849"/>
    <w:rsid w:val="00F15917"/>
    <w:rsid w:val="00F3587A"/>
    <w:rsid w:val="00F37C14"/>
    <w:rsid w:val="00F44552"/>
    <w:rsid w:val="00F55949"/>
    <w:rsid w:val="00F61F00"/>
    <w:rsid w:val="00F75DE9"/>
    <w:rsid w:val="00F86FB2"/>
    <w:rsid w:val="00F946A5"/>
    <w:rsid w:val="00F957A1"/>
    <w:rsid w:val="00F97570"/>
    <w:rsid w:val="00FA4497"/>
    <w:rsid w:val="00FB3F6A"/>
    <w:rsid w:val="00FB7881"/>
    <w:rsid w:val="00FC2188"/>
    <w:rsid w:val="00FD4AC4"/>
    <w:rsid w:val="00FE21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c81a"/>
    </o:shapedefaults>
    <o:shapelayout v:ext="edit">
      <o:idmap v:ext="edit" data="1"/>
    </o:shapelayout>
  </w:shapeDefaults>
  <w:decimalSymbol w:val=","/>
  <w:listSeparator w:val=";"/>
  <w15:docId w15:val="{C1E22CE0-3109-41E7-8C01-F2AE3419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tr-TR" w:bidi="tr-T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24"/>
    <w:rPr>
      <w:rFonts w:ascii="AvantGarde-Demi" w:hAnsi="AvantGarde-Demi"/>
      <w:caps/>
      <w:color w:val="FFFFFF"/>
      <w:spacing w:val="11"/>
      <w:sz w:val="16"/>
    </w:rPr>
  </w:style>
  <w:style w:type="paragraph" w:styleId="Balk1">
    <w:name w:val="heading 1"/>
    <w:basedOn w:val="Normal"/>
    <w:next w:val="Normal"/>
    <w:link w:val="Balk1Char"/>
    <w:rsid w:val="00715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8">
    <w:name w:val="heading 8"/>
    <w:basedOn w:val="Normal"/>
    <w:next w:val="Normal"/>
    <w:link w:val="Balk8Char"/>
    <w:qFormat/>
    <w:rsid w:val="00715393"/>
    <w:pPr>
      <w:spacing w:before="240" w:after="60"/>
      <w:outlineLvl w:val="7"/>
    </w:pPr>
    <w:rPr>
      <w:rFonts w:ascii="Times New Roman" w:eastAsia="Times" w:hAnsi="Times New Roman" w:cs="Times New Roman"/>
      <w:i/>
      <w:iCs/>
      <w:caps w:val="0"/>
      <w:color w:val="auto"/>
      <w:spacing w:val="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RESSRELEASENAMECITATION">
    <w:name w:val="PRESS RELEASE NAME CITATION"/>
    <w:basedOn w:val="PRESSRELEASETEXT"/>
    <w:qFormat/>
    <w:rsid w:val="00E60FA0"/>
    <w:rPr>
      <w:i/>
    </w:rPr>
  </w:style>
  <w:style w:type="paragraph" w:customStyle="1" w:styleId="PRESSRELEASETITLE">
    <w:name w:val="PRESS RELEASE TITLE"/>
    <w:basedOn w:val="Normal"/>
    <w:next w:val="Normal"/>
    <w:qFormat/>
    <w:rsid w:val="004C0A8D"/>
    <w:rPr>
      <w:rFonts w:ascii="Arial Narrow" w:hAnsi="Arial Narrow"/>
      <w:b/>
      <w:color w:val="000000" w:themeColor="text1"/>
      <w:sz w:val="36"/>
    </w:rPr>
  </w:style>
  <w:style w:type="paragraph" w:customStyle="1" w:styleId="PRESSRELEASEBULLETPOINT">
    <w:name w:val="PRESS RELEASE BULLET POINT"/>
    <w:basedOn w:val="Normal"/>
    <w:qFormat/>
    <w:rsid w:val="004C0A8D"/>
    <w:rPr>
      <w:rFonts w:ascii="Arial Narrow" w:hAnsi="Arial Narrow"/>
      <w:b/>
      <w:caps w:val="0"/>
      <w:color w:val="000000" w:themeColor="text1"/>
      <w:sz w:val="29"/>
    </w:rPr>
  </w:style>
  <w:style w:type="paragraph" w:customStyle="1" w:styleId="PRESSRELEASEPARAGRAPHTITLE">
    <w:name w:val="PRESS RELEASE PARAGRAPH TITLE"/>
    <w:basedOn w:val="Normal"/>
    <w:qFormat/>
    <w:rsid w:val="00756D7E"/>
    <w:rPr>
      <w:rFonts w:ascii="Arial Narrow" w:hAnsi="Arial Narrow"/>
      <w:b/>
      <w:color w:val="000000" w:themeColor="text1"/>
      <w:sz w:val="24"/>
    </w:rPr>
  </w:style>
  <w:style w:type="paragraph" w:customStyle="1" w:styleId="PRESSRELEASETEXT">
    <w:name w:val="PRESS RELEASE TEXT"/>
    <w:basedOn w:val="Normal"/>
    <w:qFormat/>
    <w:rsid w:val="009E35C5"/>
    <w:pPr>
      <w:jc w:val="both"/>
    </w:pPr>
    <w:rPr>
      <w:rFonts w:ascii="Arial Narrow" w:hAnsi="Arial Narrow"/>
      <w:caps w:val="0"/>
      <w:color w:val="000000" w:themeColor="text1"/>
      <w:sz w:val="24"/>
    </w:rPr>
  </w:style>
  <w:style w:type="paragraph" w:styleId="stbilgi">
    <w:name w:val="header"/>
    <w:basedOn w:val="Normal"/>
    <w:link w:val="stbilgiChar"/>
    <w:rsid w:val="007A25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2571"/>
    <w:rPr>
      <w:rFonts w:ascii="AvantGarde-Demi" w:hAnsi="AvantGarde-Demi"/>
      <w:caps/>
      <w:color w:val="FFFFFF"/>
      <w:spacing w:val="11"/>
      <w:sz w:val="16"/>
    </w:rPr>
  </w:style>
  <w:style w:type="paragraph" w:styleId="Altbilgi">
    <w:name w:val="footer"/>
    <w:basedOn w:val="Normal"/>
    <w:link w:val="AltbilgiChar"/>
    <w:rsid w:val="007A25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2571"/>
    <w:rPr>
      <w:rFonts w:ascii="AvantGarde-Demi" w:hAnsi="AvantGarde-Demi"/>
      <w:caps/>
      <w:color w:val="FFFFFF"/>
      <w:spacing w:val="11"/>
      <w:sz w:val="16"/>
    </w:rPr>
  </w:style>
  <w:style w:type="character" w:customStyle="1" w:styleId="PRESSRELEASECITATION">
    <w:name w:val="PRESS RELEASE CITATION"/>
    <w:basedOn w:val="VarsaylanParagrafYazTipi"/>
    <w:rsid w:val="00E60FA0"/>
    <w:rPr>
      <w:rFonts w:ascii="Arial Narrow" w:hAnsi="Arial Narrow"/>
      <w:color w:val="000000" w:themeColor="text1"/>
      <w:sz w:val="34"/>
    </w:rPr>
  </w:style>
  <w:style w:type="paragraph" w:customStyle="1" w:styleId="PRESSRELEASECONTACTTITLE">
    <w:name w:val="PRESS RELEASE CONTACT TITLE"/>
    <w:next w:val="Normal"/>
    <w:qFormat/>
    <w:rsid w:val="00CD5150"/>
    <w:rPr>
      <w:rFonts w:ascii="Arial Narrow" w:hAnsi="Arial Narrow"/>
      <w:b/>
      <w:caps/>
      <w:color w:val="FFFFFF"/>
      <w:spacing w:val="11"/>
      <w:sz w:val="20"/>
    </w:rPr>
  </w:style>
  <w:style w:type="paragraph" w:customStyle="1" w:styleId="PRESSRELEASECONTACTTEXT">
    <w:name w:val="PRESS RELEASE CONTACT TEXT"/>
    <w:next w:val="Normal"/>
    <w:qFormat/>
    <w:rsid w:val="00810C0E"/>
    <w:rPr>
      <w:rFonts w:ascii="Arial Narrow" w:hAnsi="Arial Narrow"/>
      <w:color w:val="000000" w:themeColor="text1"/>
      <w:spacing w:val="11"/>
      <w:sz w:val="20"/>
    </w:rPr>
  </w:style>
  <w:style w:type="paragraph" w:styleId="BalonMetni">
    <w:name w:val="Balloon Text"/>
    <w:basedOn w:val="Normal"/>
    <w:link w:val="BalonMetniChar"/>
    <w:rsid w:val="003A47BA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rsid w:val="003A47BA"/>
    <w:rPr>
      <w:rFonts w:ascii="Tahoma" w:hAnsi="Tahoma" w:cs="Tahoma"/>
      <w:caps/>
      <w:color w:val="FFFFFF"/>
      <w:spacing w:val="11"/>
      <w:sz w:val="16"/>
      <w:szCs w:val="16"/>
    </w:rPr>
  </w:style>
  <w:style w:type="character" w:customStyle="1" w:styleId="Balk8Char">
    <w:name w:val="Başlık 8 Char"/>
    <w:basedOn w:val="VarsaylanParagrafYazTipi"/>
    <w:link w:val="Balk8"/>
    <w:rsid w:val="00715393"/>
    <w:rPr>
      <w:rFonts w:ascii="Times New Roman" w:eastAsia="Times" w:hAnsi="Times New Roman" w:cs="Times New Roman"/>
      <w:i/>
      <w:iCs/>
    </w:rPr>
  </w:style>
  <w:style w:type="character" w:styleId="Kpr">
    <w:name w:val="Hyperlink"/>
    <w:basedOn w:val="VarsaylanParagrafYazTipi"/>
    <w:uiPriority w:val="99"/>
    <w:unhideWhenUsed/>
    <w:rsid w:val="00715393"/>
    <w:rPr>
      <w:color w:val="0000FF"/>
      <w:u w:val="single"/>
    </w:rPr>
  </w:style>
  <w:style w:type="paragraph" w:customStyle="1" w:styleId="Sous-titre1">
    <w:name w:val="Sous-titre1"/>
    <w:basedOn w:val="Normal"/>
    <w:uiPriority w:val="99"/>
    <w:rsid w:val="00715393"/>
    <w:pPr>
      <w:spacing w:before="225" w:after="225"/>
    </w:pPr>
    <w:rPr>
      <w:rFonts w:ascii="Arial" w:eastAsiaTheme="minorEastAsia" w:hAnsi="Arial" w:cs="Arial"/>
      <w:b/>
      <w:bCs/>
      <w:caps w:val="0"/>
      <w:color w:val="auto"/>
      <w:spacing w:val="0"/>
      <w:sz w:val="24"/>
    </w:rPr>
  </w:style>
  <w:style w:type="character" w:customStyle="1" w:styleId="Balk1Char">
    <w:name w:val="Başlık 1 Char"/>
    <w:basedOn w:val="VarsaylanParagrafYazTipi"/>
    <w:link w:val="Balk1"/>
    <w:rsid w:val="00715393"/>
    <w:rPr>
      <w:rFonts w:asciiTheme="majorHAnsi" w:eastAsiaTheme="majorEastAsia" w:hAnsiTheme="majorHAnsi" w:cstheme="majorBidi"/>
      <w:caps/>
      <w:color w:val="365F91" w:themeColor="accent1" w:themeShade="BF"/>
      <w:spacing w:val="11"/>
      <w:sz w:val="32"/>
      <w:szCs w:val="32"/>
    </w:rPr>
  </w:style>
  <w:style w:type="paragraph" w:styleId="NormalWeb">
    <w:name w:val="Normal (Web)"/>
    <w:basedOn w:val="Normal"/>
    <w:uiPriority w:val="99"/>
    <w:unhideWhenUsed/>
    <w:rsid w:val="00FE2158"/>
    <w:pPr>
      <w:spacing w:before="100" w:beforeAutospacing="1" w:after="100" w:afterAutospacing="1"/>
    </w:pPr>
    <w:rPr>
      <w:rFonts w:ascii="Times New Roman" w:eastAsiaTheme="minorEastAsia" w:hAnsi="Times New Roman" w:cs="Times New Roman"/>
      <w:caps w:val="0"/>
      <w:color w:val="auto"/>
      <w:spacing w:val="0"/>
      <w:sz w:val="24"/>
    </w:rPr>
  </w:style>
  <w:style w:type="paragraph" w:styleId="ListeParagraf">
    <w:name w:val="List Paragraph"/>
    <w:basedOn w:val="Normal"/>
    <w:uiPriority w:val="34"/>
    <w:qFormat/>
    <w:rsid w:val="0058485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E2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up.renaul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oup.renault.com/grou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90035\AppData\Local\Temp\Temp1_G_PRESS%20RELEASE_A4_v1.zip\G_PRESS%20RELEASE_A4_v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72FC-71FB-490D-A6D5-76E60D6E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G_PRESS RELEASE_A4_v1</Template>
  <TotalTime>214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Osmotik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MAZIER Helene</dc:creator>
  <cp:lastModifiedBy>CAKIR Berk</cp:lastModifiedBy>
  <cp:revision>45</cp:revision>
  <cp:lastPrinted>2016-02-12T08:41:00Z</cp:lastPrinted>
  <dcterms:created xsi:type="dcterms:W3CDTF">2016-02-11T15:47:00Z</dcterms:created>
  <dcterms:modified xsi:type="dcterms:W3CDTF">2016-02-12T09:23:00Z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