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5B99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9A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9B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9C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9D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9E" w14:textId="77777777" w:rsidR="000740C7" w:rsidRDefault="000740C7">
      <w:pPr>
        <w:spacing w:before="12" w:after="0" w:line="200" w:lineRule="exact"/>
        <w:rPr>
          <w:sz w:val="20"/>
          <w:szCs w:val="20"/>
        </w:rPr>
      </w:pPr>
    </w:p>
    <w:p w14:paraId="4F555B9F" w14:textId="333FECAD" w:rsidR="000740C7" w:rsidRDefault="00423A03">
      <w:pPr>
        <w:spacing w:before="29" w:after="0" w:line="240" w:lineRule="auto"/>
        <w:ind w:left="1329"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4"/>
        </w:rPr>
        <w:t xml:space="preserve">BASIN BÜLTENİ                                                                                </w:t>
      </w:r>
      <w:proofErr w:type="gramStart"/>
      <w:r w:rsidR="00361399">
        <w:rPr>
          <w:rFonts w:ascii="Arial" w:hAnsi="Arial"/>
          <w:position w:val="3"/>
          <w:sz w:val="20"/>
        </w:rPr>
        <w:t>14</w:t>
      </w:r>
      <w:r>
        <w:rPr>
          <w:rFonts w:ascii="Arial" w:hAnsi="Arial"/>
          <w:position w:val="3"/>
          <w:sz w:val="20"/>
        </w:rPr>
        <w:t>/12/2015</w:t>
      </w:r>
      <w:proofErr w:type="gramEnd"/>
    </w:p>
    <w:p w14:paraId="4F555BA0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B9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BA" w14:textId="77777777" w:rsidR="000740C7" w:rsidRDefault="000740C7">
      <w:pPr>
        <w:spacing w:after="0" w:line="200" w:lineRule="exact"/>
        <w:rPr>
          <w:sz w:val="20"/>
          <w:szCs w:val="20"/>
        </w:rPr>
      </w:pPr>
    </w:p>
    <w:p w14:paraId="4F555BBB" w14:textId="77777777" w:rsidR="000740C7" w:rsidRDefault="000740C7">
      <w:pPr>
        <w:spacing w:before="13" w:after="0" w:line="280" w:lineRule="exact"/>
        <w:rPr>
          <w:sz w:val="28"/>
          <w:szCs w:val="28"/>
        </w:rPr>
      </w:pPr>
    </w:p>
    <w:p w14:paraId="4F555BBC" w14:textId="599F2FB7" w:rsidR="000740C7" w:rsidRDefault="002E24BF">
      <w:pPr>
        <w:spacing w:after="0" w:line="250" w:lineRule="auto"/>
        <w:ind w:left="1329" w:right="335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sz w:val="30"/>
        </w:rPr>
        <w:t>RENAULT YÖNETİM</w:t>
      </w:r>
      <w:r w:rsidR="00782F88">
        <w:rPr>
          <w:rFonts w:ascii="Arial" w:hAnsi="Arial"/>
          <w:b/>
          <w:sz w:val="30"/>
        </w:rPr>
        <w:t xml:space="preserve"> KURULU </w:t>
      </w:r>
      <w:r>
        <w:rPr>
          <w:rFonts w:ascii="Arial" w:hAnsi="Arial"/>
          <w:b/>
          <w:sz w:val="30"/>
        </w:rPr>
        <w:t>RENAULT VE NISSAN ARASINDAKİ İTTİFAK</w:t>
      </w:r>
      <w:r w:rsidR="00782F88">
        <w:rPr>
          <w:rFonts w:ascii="Arial" w:hAnsi="Arial"/>
          <w:b/>
          <w:sz w:val="30"/>
        </w:rPr>
        <w:t>IN DEVAMLILIĞIN</w:t>
      </w:r>
      <w:r w:rsidR="008E015D">
        <w:rPr>
          <w:rFonts w:ascii="Arial" w:hAnsi="Arial"/>
          <w:b/>
          <w:sz w:val="30"/>
        </w:rPr>
        <w:t>A</w:t>
      </w:r>
      <w:r w:rsidR="00782F88">
        <w:rPr>
          <w:rFonts w:ascii="Arial" w:hAnsi="Arial"/>
          <w:b/>
          <w:sz w:val="30"/>
        </w:rPr>
        <w:t xml:space="preserve"> </w:t>
      </w:r>
      <w:r w:rsidR="008E015D">
        <w:rPr>
          <w:rFonts w:ascii="Arial" w:hAnsi="Arial"/>
          <w:b/>
          <w:sz w:val="30"/>
        </w:rPr>
        <w:t>OYBİRLİĞİYLE KARAR VERDİ</w:t>
      </w:r>
    </w:p>
    <w:p w14:paraId="4F555BBD" w14:textId="77777777" w:rsidR="000740C7" w:rsidRDefault="000740C7">
      <w:pPr>
        <w:spacing w:before="8" w:after="0" w:line="190" w:lineRule="exact"/>
        <w:rPr>
          <w:sz w:val="19"/>
          <w:szCs w:val="19"/>
        </w:rPr>
      </w:pPr>
    </w:p>
    <w:p w14:paraId="06A935B9" w14:textId="70ACE452" w:rsidR="002E24BF" w:rsidRPr="002E24BF" w:rsidRDefault="002E24BF" w:rsidP="002E24BF">
      <w:pPr>
        <w:spacing w:after="0" w:line="240" w:lineRule="auto"/>
        <w:ind w:left="1329" w:right="2528"/>
        <w:jc w:val="both"/>
        <w:rPr>
          <w:rFonts w:ascii="Arial" w:eastAsia="Arial" w:hAnsi="Arial" w:cs="Arial"/>
          <w:sz w:val="20"/>
          <w:szCs w:val="20"/>
        </w:rPr>
      </w:pPr>
    </w:p>
    <w:p w14:paraId="247EB8B3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2C80713D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16 Nisan 2015 tarihine kadar, Renault Yönetim Kurulu, 1999'daki ilk başlangıç tarihinden itibaren İttifak'ın sürdürülebilirliği, başarısı ve dayanıklılığının Renault ve Nissan tarafından sahip olunan hisselerin dengesine dayalı olduğunu oybirliği ile tekrarlamıştır.</w:t>
      </w:r>
    </w:p>
    <w:p w14:paraId="5684EC34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446665D3" w14:textId="68B925DB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 zamandan beri, Renault'</w:t>
      </w:r>
      <w:r w:rsidR="00782F88">
        <w:rPr>
          <w:rFonts w:ascii="Arial" w:hAnsi="Arial"/>
          <w:sz w:val="20"/>
        </w:rPr>
        <w:t>nu</w:t>
      </w:r>
      <w:r>
        <w:rPr>
          <w:rFonts w:ascii="Arial" w:hAnsi="Arial"/>
          <w:sz w:val="20"/>
        </w:rPr>
        <w:t>n iki uzun vadeli hissedarı, Nissan ve Fransız Hükumeti arasındaki görüşmeler İttifak'ın istikrarını sağlayacak ve büyümesini teşvik edecek sağlam bir anlaşma ile sonuçlanmıştır.</w:t>
      </w:r>
    </w:p>
    <w:p w14:paraId="275D2ED0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3CD9AF43" w14:textId="4EFF1DA3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Renault Yönetim Kurulu, bugün, üç noktaya dayalı olan </w:t>
      </w:r>
      <w:r w:rsidR="00DE3423">
        <w:rPr>
          <w:rFonts w:ascii="Arial" w:hAnsi="Arial"/>
          <w:sz w:val="20"/>
        </w:rPr>
        <w:t>devamlılık anlaşmasını</w:t>
      </w:r>
      <w:r>
        <w:rPr>
          <w:rFonts w:ascii="Arial" w:hAnsi="Arial"/>
          <w:sz w:val="20"/>
        </w:rPr>
        <w:t xml:space="preserve"> onaylamıştı</w:t>
      </w:r>
      <w:r w:rsidR="00DE3423">
        <w:rPr>
          <w:rFonts w:ascii="Arial" w:hAnsi="Arial"/>
          <w:sz w:val="20"/>
        </w:rPr>
        <w:t>r. Bu noktalar</w:t>
      </w:r>
      <w:r>
        <w:rPr>
          <w:rFonts w:ascii="Arial" w:hAnsi="Arial"/>
          <w:sz w:val="20"/>
        </w:rPr>
        <w:t>:</w:t>
      </w:r>
    </w:p>
    <w:p w14:paraId="0625850B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686DB975" w14:textId="4673E287" w:rsidR="002E24BF" w:rsidRDefault="002E24BF" w:rsidP="00DE3423">
      <w:pPr>
        <w:pStyle w:val="ListeParagraf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1 Nisan 2016 tarihi itibariyle Fransız Hükumeti'nin Renault içerisindeki çift oy</w:t>
      </w:r>
      <w:r w:rsidR="00DE3423">
        <w:rPr>
          <w:rFonts w:ascii="Arial" w:hAnsi="Arial"/>
          <w:sz w:val="20"/>
        </w:rPr>
        <w:t xml:space="preserve"> hakkı prensibinin korunması, </w:t>
      </w:r>
      <w:r>
        <w:rPr>
          <w:rFonts w:ascii="Arial" w:hAnsi="Arial"/>
          <w:sz w:val="20"/>
        </w:rPr>
        <w:t xml:space="preserve">Fransız hükumeti ve Renault arasındaki bir sözleşme ile Fransız hükumetinin oy hakkının %17,9'da sınırlanması, </w:t>
      </w:r>
      <w:r w:rsidR="00DE3423" w:rsidRPr="00DE3423">
        <w:rPr>
          <w:rFonts w:ascii="Arial" w:hAnsi="Arial"/>
          <w:sz w:val="20"/>
        </w:rPr>
        <w:t xml:space="preserve">olağan dışı </w:t>
      </w:r>
      <w:r>
        <w:rPr>
          <w:rFonts w:ascii="Arial" w:hAnsi="Arial"/>
          <w:sz w:val="20"/>
        </w:rPr>
        <w:t>genel kurulda yeter oy sayısı olması halinde bu sınırın %20'ye çıkması;</w:t>
      </w:r>
    </w:p>
    <w:p w14:paraId="2CF65830" w14:textId="77777777" w:rsidR="002E24BF" w:rsidRPr="002E24BF" w:rsidRDefault="002E24BF" w:rsidP="002E24BF">
      <w:pPr>
        <w:pStyle w:val="ListeParagraf"/>
        <w:ind w:left="2049"/>
        <w:jc w:val="both"/>
        <w:rPr>
          <w:rFonts w:ascii="Arial" w:eastAsia="Arial" w:hAnsi="Arial" w:cs="Arial"/>
          <w:sz w:val="20"/>
          <w:szCs w:val="20"/>
        </w:rPr>
      </w:pPr>
    </w:p>
    <w:p w14:paraId="54709BC3" w14:textId="1CEF80C9" w:rsidR="002E24BF" w:rsidRDefault="002E24BF" w:rsidP="002E24BF">
      <w:pPr>
        <w:pStyle w:val="ListeParagraf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Nissan hisselerinin Renault içerisinde oy hakkına sahip olmaması;</w:t>
      </w:r>
    </w:p>
    <w:p w14:paraId="3B905891" w14:textId="77777777" w:rsidR="002E24BF" w:rsidRPr="002E24BF" w:rsidRDefault="002E24BF" w:rsidP="002E24BF">
      <w:pPr>
        <w:pStyle w:val="ListeParagraf"/>
        <w:rPr>
          <w:rFonts w:ascii="Arial" w:eastAsia="Arial" w:hAnsi="Arial" w:cs="Arial"/>
          <w:sz w:val="20"/>
          <w:szCs w:val="20"/>
        </w:rPr>
      </w:pPr>
    </w:p>
    <w:p w14:paraId="7F147502" w14:textId="1A578F36" w:rsidR="002E24BF" w:rsidRPr="002E24BF" w:rsidRDefault="002E24BF" w:rsidP="002E24BF">
      <w:pPr>
        <w:pStyle w:val="ListeParagraf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Renault ve Nissan arasında, Renault'</w:t>
      </w:r>
      <w:r w:rsidR="005D0F3F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un Nissan'ın yönetimine karışmamasını sağlayacak bir sözleşme.</w:t>
      </w:r>
    </w:p>
    <w:p w14:paraId="4ED9C084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12BB6C49" w14:textId="0901430A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Fransız hükumetinin oy hakkı, temettüler, Kurul'daki Fransız hükumet temsilcilerinin atanması veya çıkarılması, Renault'</w:t>
      </w:r>
      <w:r w:rsidR="004B76A7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un varlıklarının </w:t>
      </w:r>
      <w:r w:rsidR="004B76A7">
        <w:rPr>
          <w:rFonts w:ascii="Arial" w:hAnsi="Arial"/>
          <w:sz w:val="20"/>
        </w:rPr>
        <w:t xml:space="preserve">yüzde </w:t>
      </w:r>
      <w:r>
        <w:rPr>
          <w:rFonts w:ascii="Arial" w:hAnsi="Arial"/>
          <w:sz w:val="20"/>
        </w:rPr>
        <w:t>50'sinden fazlasının elden çıkarılması ve Renault Kurulu'ndaki Fransız hükumeti temsilcileri tarafından onaylanmamış ilgili taraf işlemleri dışında, Olağan Yıllık Genel Kurul Toplantıları</w:t>
      </w:r>
      <w:r w:rsidR="004B76A7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nda oylamaya sunulacak bütün kararlarda bu üst sınıra sahip olacaktır.</w:t>
      </w:r>
    </w:p>
    <w:p w14:paraId="3B35E850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1E1E1CF5" w14:textId="5B4E584C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Bu üst sınır, İttifak Ana Anlaşması</w:t>
      </w:r>
      <w:r w:rsidR="002F2D92">
        <w:rPr>
          <w:rFonts w:ascii="Arial" w:hAnsi="Arial"/>
          <w:sz w:val="20"/>
        </w:rPr>
        <w:t>’nda</w:t>
      </w:r>
      <w:r>
        <w:rPr>
          <w:rFonts w:ascii="Arial" w:hAnsi="Arial"/>
          <w:sz w:val="20"/>
        </w:rPr>
        <w:t xml:space="preserve"> yapılacak değişiklikler veya </w:t>
      </w:r>
      <w:r w:rsidR="004B76A7">
        <w:rPr>
          <w:rFonts w:ascii="Arial" w:hAnsi="Arial"/>
          <w:sz w:val="20"/>
        </w:rPr>
        <w:t>anlaşmanın</w:t>
      </w:r>
      <w:r>
        <w:rPr>
          <w:rFonts w:ascii="Arial" w:hAnsi="Arial"/>
          <w:sz w:val="20"/>
        </w:rPr>
        <w:t xml:space="preserve"> feshi, Renault içerisindeki Nissan hisselerinin oy hakkı, Renault'</w:t>
      </w:r>
      <w:r w:rsidR="004B76A7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un alım teklifi ve Nissan </w:t>
      </w:r>
      <w:proofErr w:type="gramStart"/>
      <w:r>
        <w:rPr>
          <w:rFonts w:ascii="Arial" w:hAnsi="Arial"/>
          <w:sz w:val="20"/>
        </w:rPr>
        <w:t>dahil</w:t>
      </w:r>
      <w:proofErr w:type="gramEnd"/>
      <w:r>
        <w:rPr>
          <w:rFonts w:ascii="Arial" w:hAnsi="Arial"/>
          <w:sz w:val="20"/>
        </w:rPr>
        <w:t xml:space="preserve"> olmak üzere, herhangi bir hissedarın hisselerde veya oy haklarında </w:t>
      </w:r>
      <w:r w:rsidR="004B76A7">
        <w:rPr>
          <w:rFonts w:ascii="Arial" w:hAnsi="Arial"/>
          <w:sz w:val="20"/>
        </w:rPr>
        <w:t>yüzde</w:t>
      </w:r>
      <w:r w:rsidR="002F2D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15'lik barajı aşması gibi olağanüstü durumlarda geçerli olmayacaktır.</w:t>
      </w:r>
    </w:p>
    <w:p w14:paraId="044998F5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167D9A17" w14:textId="3BBB4FBB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Renault'</w:t>
      </w:r>
      <w:r w:rsidR="004B76A7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un Nissan yönetimine karışmaması, Nis</w:t>
      </w:r>
      <w:r w:rsidR="004B76A7">
        <w:rPr>
          <w:rFonts w:ascii="Arial" w:hAnsi="Arial"/>
          <w:sz w:val="20"/>
        </w:rPr>
        <w:t>san Yönetim Kurulu üyelerinin</w:t>
      </w:r>
      <w:r>
        <w:rPr>
          <w:rFonts w:ascii="Arial" w:hAnsi="Arial"/>
          <w:sz w:val="20"/>
        </w:rPr>
        <w:t xml:space="preserve"> atama, işten çıkarma ve tazminatı </w:t>
      </w:r>
      <w:r w:rsidR="004B76A7">
        <w:rPr>
          <w:rFonts w:ascii="Arial" w:hAnsi="Arial"/>
          <w:sz w:val="20"/>
        </w:rPr>
        <w:t>ile</w:t>
      </w:r>
      <w:r>
        <w:rPr>
          <w:rFonts w:ascii="Arial" w:hAnsi="Arial"/>
          <w:sz w:val="20"/>
        </w:rPr>
        <w:t xml:space="preserve"> Nissan Yönetim Kurulu tarafından onaylanmamış bir hissedardan gelen teklifler ile ilgili kararları da kapsayacaktır.</w:t>
      </w:r>
    </w:p>
    <w:p w14:paraId="6B8D28D6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21649AB2" w14:textId="51CC44D4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Renault Yönetim Kurulu, bu anlaşmayı, İttifak takımlarının gelecek yıllarda küresel otomotiv imalatçıları arasında en üst </w:t>
      </w:r>
      <w:r w:rsidR="00231F43">
        <w:rPr>
          <w:rFonts w:ascii="Arial" w:hAnsi="Arial"/>
          <w:sz w:val="20"/>
        </w:rPr>
        <w:t>üç</w:t>
      </w:r>
      <w:r>
        <w:rPr>
          <w:rFonts w:ascii="Arial" w:hAnsi="Arial"/>
          <w:sz w:val="20"/>
        </w:rPr>
        <w:t xml:space="preserve"> sırayı almak için ga</w:t>
      </w:r>
      <w:r w:rsidR="00D5729B">
        <w:rPr>
          <w:rFonts w:ascii="Arial" w:hAnsi="Arial"/>
          <w:sz w:val="20"/>
        </w:rPr>
        <w:t>yret etmesine olanak sağlayacak</w:t>
      </w:r>
      <w:r>
        <w:rPr>
          <w:rFonts w:ascii="Arial" w:hAnsi="Arial"/>
          <w:sz w:val="20"/>
        </w:rPr>
        <w:t xml:space="preserve"> esaslı bir güven-inşa edici adım olarak </w:t>
      </w:r>
      <w:r w:rsidR="00231F43">
        <w:rPr>
          <w:rFonts w:ascii="Arial" w:hAnsi="Arial"/>
          <w:sz w:val="20"/>
        </w:rPr>
        <w:t>memnuniyetle</w:t>
      </w:r>
      <w:bookmarkStart w:id="0" w:name="_GoBack"/>
      <w:bookmarkEnd w:id="0"/>
      <w:r>
        <w:rPr>
          <w:rFonts w:ascii="Arial" w:hAnsi="Arial"/>
          <w:sz w:val="20"/>
        </w:rPr>
        <w:t xml:space="preserve"> karşılamıştır.</w:t>
      </w:r>
    </w:p>
    <w:p w14:paraId="2B8F695F" w14:textId="77777777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23630552" w14:textId="011A4705" w:rsidR="002E24BF" w:rsidRPr="002E24BF" w:rsidRDefault="002E24BF" w:rsidP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Bu verimli tartışmanın sonucunda, Renaul</w:t>
      </w:r>
      <w:r w:rsidR="00D5729B">
        <w:rPr>
          <w:rFonts w:ascii="Arial" w:hAnsi="Arial"/>
          <w:sz w:val="20"/>
        </w:rPr>
        <w:t>t Yönetim Kurulu oy birliği ile</w:t>
      </w:r>
      <w:r>
        <w:rPr>
          <w:rFonts w:ascii="Arial" w:hAnsi="Arial"/>
          <w:sz w:val="20"/>
        </w:rPr>
        <w:t xml:space="preserve"> Yönetim Kurulu Başkanı ve CEO Carlos Ghosn'a olan güvenini tazelemiştir.</w:t>
      </w:r>
    </w:p>
    <w:p w14:paraId="28CFF1EF" w14:textId="77777777" w:rsidR="002E24BF" w:rsidRPr="002E24BF" w:rsidRDefault="002E24BF">
      <w:pPr>
        <w:spacing w:after="0" w:line="250" w:lineRule="auto"/>
        <w:ind w:left="1335" w:right="66"/>
        <w:jc w:val="both"/>
        <w:rPr>
          <w:rFonts w:ascii="Arial" w:eastAsia="Arial" w:hAnsi="Arial" w:cs="Arial"/>
          <w:sz w:val="20"/>
          <w:szCs w:val="20"/>
        </w:rPr>
      </w:pPr>
    </w:p>
    <w:p w14:paraId="4F555BF6" w14:textId="77777777" w:rsidR="000740C7" w:rsidRPr="00651D31" w:rsidRDefault="000740C7">
      <w:pPr>
        <w:spacing w:after="0" w:line="200" w:lineRule="exact"/>
        <w:rPr>
          <w:sz w:val="20"/>
          <w:szCs w:val="20"/>
        </w:rPr>
      </w:pPr>
    </w:p>
    <w:p w14:paraId="4F555BFA" w14:textId="11EC643D" w:rsidR="000740C7" w:rsidRDefault="00C33F50">
      <w:pPr>
        <w:spacing w:before="10" w:after="0" w:line="240" w:lineRule="auto"/>
        <w:ind w:left="1349" w:right="-20"/>
        <w:rPr>
          <w:rFonts w:ascii="Arial" w:hAnsi="Arial"/>
          <w:sz w:val="20"/>
        </w:rPr>
      </w:pPr>
      <w:r w:rsidRPr="00C33F50">
        <w:rPr>
          <w:rFonts w:ascii="Arial" w:hAnsi="Arial"/>
          <w:b/>
          <w:sz w:val="18"/>
        </w:rPr>
        <w:t>Detaylı bilgi için</w:t>
      </w:r>
      <w:r>
        <w:rPr>
          <w:rFonts w:ascii="Arial" w:hAnsi="Arial"/>
          <w:b/>
          <w:sz w:val="18"/>
        </w:rPr>
        <w:t xml:space="preserve">: </w:t>
      </w:r>
      <w:r w:rsidR="00423A03">
        <w:rPr>
          <w:rFonts w:ascii="Arial" w:hAnsi="Arial"/>
          <w:sz w:val="20"/>
        </w:rPr>
        <w:t>+33 1 76 84 63 36</w:t>
      </w:r>
    </w:p>
    <w:p w14:paraId="4F555BFB" w14:textId="4E0A57BF" w:rsidR="000740C7" w:rsidRPr="002A7ABD" w:rsidRDefault="00C33F50" w:rsidP="00C33F50">
      <w:pPr>
        <w:spacing w:line="280" w:lineRule="exact"/>
        <w:ind w:left="629" w:right="34" w:firstLine="720"/>
        <w:rPr>
          <w:sz w:val="24"/>
          <w:szCs w:val="24"/>
        </w:rPr>
      </w:pPr>
      <w:r w:rsidRPr="00C33F50">
        <w:rPr>
          <w:rFonts w:ascii="Arial" w:hAnsi="Arial"/>
          <w:sz w:val="20"/>
        </w:rPr>
        <w:t>Internet Siteleri:</w:t>
      </w:r>
      <w:r w:rsidRPr="003675ED">
        <w:rPr>
          <w:rFonts w:cs="Arial"/>
          <w:sz w:val="16"/>
          <w:szCs w:val="16"/>
          <w:lang w:val="fr-FR" w:eastAsia="en-US"/>
        </w:rPr>
        <w:t xml:space="preserve"> </w:t>
      </w:r>
      <w:hyperlink r:id="rId11" w:history="1">
        <w:r w:rsidRPr="003675ED">
          <w:rPr>
            <w:rStyle w:val="Kpr"/>
            <w:rFonts w:cs="Arial"/>
            <w:sz w:val="16"/>
            <w:szCs w:val="16"/>
            <w:lang w:val="fr-FR" w:eastAsia="en-US"/>
          </w:rPr>
          <w:t>www.media.renault.com</w:t>
        </w:r>
      </w:hyperlink>
      <w:r w:rsidRPr="003675ED">
        <w:rPr>
          <w:rFonts w:cs="Arial"/>
          <w:sz w:val="16"/>
          <w:szCs w:val="16"/>
          <w:lang w:val="fr-FR" w:eastAsia="en-US"/>
        </w:rPr>
        <w:t xml:space="preserve"> - </w:t>
      </w:r>
      <w:hyperlink r:id="rId12" w:history="1">
        <w:r w:rsidRPr="003675ED">
          <w:rPr>
            <w:rStyle w:val="Kpr"/>
            <w:rFonts w:cs="Arial"/>
            <w:sz w:val="16"/>
            <w:szCs w:val="16"/>
            <w:lang w:val="fr-FR" w:eastAsia="en-US"/>
          </w:rPr>
          <w:t>www.group.renault.com</w:t>
        </w:r>
      </w:hyperlink>
      <w:r>
        <w:rPr>
          <w:rFonts w:cs="Arial"/>
          <w:sz w:val="16"/>
          <w:szCs w:val="16"/>
          <w:lang w:val="fr-FR" w:eastAsia="en-US"/>
        </w:rPr>
        <w:t xml:space="preserve">      </w:t>
      </w:r>
    </w:p>
    <w:sectPr w:rsidR="000740C7" w:rsidRPr="002A7ABD">
      <w:headerReference w:type="default" r:id="rId13"/>
      <w:pgSz w:w="11920" w:h="16840"/>
      <w:pgMar w:top="960" w:right="460" w:bottom="280" w:left="4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7359C" w14:textId="77777777" w:rsidR="000577D1" w:rsidRDefault="000577D1">
      <w:pPr>
        <w:spacing w:after="0" w:line="240" w:lineRule="auto"/>
      </w:pPr>
      <w:r>
        <w:separator/>
      </w:r>
    </w:p>
  </w:endnote>
  <w:endnote w:type="continuationSeparator" w:id="0">
    <w:p w14:paraId="5A17FDF0" w14:textId="77777777" w:rsidR="000577D1" w:rsidRDefault="0005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A3B7F" w14:textId="77777777" w:rsidR="000577D1" w:rsidRDefault="000577D1">
      <w:pPr>
        <w:spacing w:after="0" w:line="240" w:lineRule="auto"/>
      </w:pPr>
      <w:r>
        <w:separator/>
      </w:r>
    </w:p>
  </w:footnote>
  <w:footnote w:type="continuationSeparator" w:id="0">
    <w:p w14:paraId="1675769D" w14:textId="77777777" w:rsidR="000577D1" w:rsidRDefault="0005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55C09" w14:textId="77777777" w:rsidR="000740C7" w:rsidRDefault="00423A03">
    <w:pPr>
      <w:spacing w:after="0" w:line="200" w:lineRule="exact"/>
      <w:rPr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4F555C0A" wp14:editId="4F555C0B">
          <wp:simplePos x="0" y="0"/>
          <wp:positionH relativeFrom="page">
            <wp:posOffset>6263640</wp:posOffset>
          </wp:positionH>
          <wp:positionV relativeFrom="page">
            <wp:posOffset>359410</wp:posOffset>
          </wp:positionV>
          <wp:extent cx="935990" cy="259080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F555C0C" wp14:editId="4F555C0D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634490" cy="1714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1235"/>
    <w:multiLevelType w:val="hybridMultilevel"/>
    <w:tmpl w:val="7DB2B3C4"/>
    <w:lvl w:ilvl="0" w:tplc="0409000F">
      <w:start w:val="1"/>
      <w:numFmt w:val="decimal"/>
      <w:lvlText w:val="%1."/>
      <w:lvlJc w:val="left"/>
      <w:pPr>
        <w:ind w:left="2049" w:hanging="360"/>
      </w:pPr>
    </w:lvl>
    <w:lvl w:ilvl="1" w:tplc="04090019" w:tentative="1">
      <w:start w:val="1"/>
      <w:numFmt w:val="lowerLetter"/>
      <w:lvlText w:val="%2."/>
      <w:lvlJc w:val="left"/>
      <w:pPr>
        <w:ind w:left="2769" w:hanging="360"/>
      </w:pPr>
    </w:lvl>
    <w:lvl w:ilvl="2" w:tplc="0409001B" w:tentative="1">
      <w:start w:val="1"/>
      <w:numFmt w:val="lowerRoman"/>
      <w:lvlText w:val="%3."/>
      <w:lvlJc w:val="right"/>
      <w:pPr>
        <w:ind w:left="3489" w:hanging="180"/>
      </w:pPr>
    </w:lvl>
    <w:lvl w:ilvl="3" w:tplc="0409000F" w:tentative="1">
      <w:start w:val="1"/>
      <w:numFmt w:val="decimal"/>
      <w:lvlText w:val="%4."/>
      <w:lvlJc w:val="left"/>
      <w:pPr>
        <w:ind w:left="4209" w:hanging="360"/>
      </w:pPr>
    </w:lvl>
    <w:lvl w:ilvl="4" w:tplc="04090019" w:tentative="1">
      <w:start w:val="1"/>
      <w:numFmt w:val="lowerLetter"/>
      <w:lvlText w:val="%5."/>
      <w:lvlJc w:val="left"/>
      <w:pPr>
        <w:ind w:left="4929" w:hanging="360"/>
      </w:pPr>
    </w:lvl>
    <w:lvl w:ilvl="5" w:tplc="0409001B" w:tentative="1">
      <w:start w:val="1"/>
      <w:numFmt w:val="lowerRoman"/>
      <w:lvlText w:val="%6."/>
      <w:lvlJc w:val="right"/>
      <w:pPr>
        <w:ind w:left="5649" w:hanging="180"/>
      </w:pPr>
    </w:lvl>
    <w:lvl w:ilvl="6" w:tplc="0409000F" w:tentative="1">
      <w:start w:val="1"/>
      <w:numFmt w:val="decimal"/>
      <w:lvlText w:val="%7."/>
      <w:lvlJc w:val="left"/>
      <w:pPr>
        <w:ind w:left="6369" w:hanging="360"/>
      </w:pPr>
    </w:lvl>
    <w:lvl w:ilvl="7" w:tplc="04090019" w:tentative="1">
      <w:start w:val="1"/>
      <w:numFmt w:val="lowerLetter"/>
      <w:lvlText w:val="%8."/>
      <w:lvlJc w:val="left"/>
      <w:pPr>
        <w:ind w:left="7089" w:hanging="360"/>
      </w:pPr>
    </w:lvl>
    <w:lvl w:ilvl="8" w:tplc="04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C7"/>
    <w:rsid w:val="000577D1"/>
    <w:rsid w:val="000740C7"/>
    <w:rsid w:val="00231F43"/>
    <w:rsid w:val="002A7ABD"/>
    <w:rsid w:val="002E24BF"/>
    <w:rsid w:val="002F2D92"/>
    <w:rsid w:val="00361399"/>
    <w:rsid w:val="003843AC"/>
    <w:rsid w:val="00423A03"/>
    <w:rsid w:val="004A188C"/>
    <w:rsid w:val="004B76A7"/>
    <w:rsid w:val="004C1BA1"/>
    <w:rsid w:val="004F20E2"/>
    <w:rsid w:val="005D0F3F"/>
    <w:rsid w:val="00651D31"/>
    <w:rsid w:val="006677B7"/>
    <w:rsid w:val="007671D1"/>
    <w:rsid w:val="00782F88"/>
    <w:rsid w:val="007B74E0"/>
    <w:rsid w:val="007E689E"/>
    <w:rsid w:val="008E015D"/>
    <w:rsid w:val="009A49F9"/>
    <w:rsid w:val="00A4548C"/>
    <w:rsid w:val="00C33F50"/>
    <w:rsid w:val="00D2534D"/>
    <w:rsid w:val="00D5729B"/>
    <w:rsid w:val="00DC5542"/>
    <w:rsid w:val="00DE3423"/>
    <w:rsid w:val="00E1045E"/>
    <w:rsid w:val="00E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55B99"/>
  <w15:docId w15:val="{ACB88A72-FC44-413D-92A6-E5D54BB2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4BF"/>
    <w:pPr>
      <w:widowControl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Kpr">
    <w:name w:val="Hyperlink"/>
    <w:rsid w:val="00C33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oup.renaul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a.renaul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Content Type Event Receiver</Name>
    <Synchronization>Asynchronous</Synchronization>
    <Type>10503</Type>
    <SequenceNumber>1000</SequenceNumber>
    <Assembly>RNAlliance.SharePoint.ACP.Layers, Version=1.0.0.0, Culture=neutral, PublicKeyToken=e2530ddecd8f1478</Assembly>
    <Class>RNAlliance.SharePoint.ACP.Layers.Service.BaseCopyEventReceivers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P_Renault_ExpirationDate xmlns="http://schemas.microsoft.com/sharepoint/v3" xsi:nil="true"/>
    <ACP_Renault_RelevantRegion_TaxHT0 xmlns="http://schemas.microsoft.com/sharepoint/v3">
      <Terms xmlns="http://schemas.microsoft.com/office/infopath/2007/PartnerControls"/>
    </ACP_Renault_RelevantRegion_TaxHT0>
    <ACP_Renault_DocumentType_TaxHT0 xmlns="http://schemas.microsoft.com/sharepoint/v3">
      <Terms xmlns="http://schemas.microsoft.com/office/infopath/2007/PartnerControls"/>
    </ACP_Renault_DocumentType_TaxHT0>
    <TaxCatchAll xmlns="64bebfd7-c037-4759-9b38-e825e441c157"/>
    <ACP_OwnerOrganization_TaxHT0 xmlns="http://schemas.microsoft.com/sharepoint/v3">
      <Terms xmlns="http://schemas.microsoft.com/office/infopath/2007/PartnerControls"/>
    </ACP_OwnerOrganization_TaxHT0>
    <ACP_Renault_SecurityClassification_TaxHT0 xmlns="http://schemas.microsoft.com/sharepoint/v3">
      <Terms xmlns="http://schemas.microsoft.com/office/infopath/2007/PartnerControls"/>
    </ACP_Renault_SecurityClassification_TaxHT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nault Document" ma:contentTypeID="0x01010066E3D1BD537B466A9FB4715B858074E900899E04623FB743D2ABDA955F9C2B667700BDE1E557D99C934AAF21072E049BB130" ma:contentTypeVersion="18" ma:contentTypeDescription="Create a new Renault document." ma:contentTypeScope="" ma:versionID="5fc65ebd21726547d036e6392a9ac1cd">
  <xsd:schema xmlns:xsd="http://www.w3.org/2001/XMLSchema" xmlns:xs="http://www.w3.org/2001/XMLSchema" xmlns:p="http://schemas.microsoft.com/office/2006/metadata/properties" xmlns:ns1="http://schemas.microsoft.com/sharepoint/v3" xmlns:ns2="64bebfd7-c037-4759-9b38-e825e441c157" targetNamespace="http://schemas.microsoft.com/office/2006/metadata/properties" ma:root="true" ma:fieldsID="b9f5fc333520296c52e2aa7ad431bd6f" ns1:_="" ns2:_="">
    <xsd:import namespace="http://schemas.microsoft.com/sharepoint/v3"/>
    <xsd:import namespace="64bebfd7-c037-4759-9b38-e825e441c157"/>
    <xsd:element name="properties">
      <xsd:complexType>
        <xsd:sequence>
          <xsd:element name="documentManagement">
            <xsd:complexType>
              <xsd:all>
                <xsd:element ref="ns1:ACP_OwnerOrganization_TaxHT0" minOccurs="0"/>
                <xsd:element ref="ns1:ACP_Renault_SecurityClassification_TaxHT0" minOccurs="0"/>
                <xsd:element ref="ns1:ACP_Renault_RelevantRegion_TaxHT0" minOccurs="0"/>
                <xsd:element ref="ns1:ACP_Renault_DocumentType_TaxHT0" minOccurs="0"/>
                <xsd:element ref="ns1:ACP_Renault_Expiration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CP_OwnerOrganization_TaxHT0" ma:index="9" nillable="true" ma:taxonomy="true" ma:internalName="ACP_OwnerOrganization_TaxHT0" ma:taxonomyFieldName="ACP_OwnerOrganization" ma:displayName="Owner Organization" ma:readOnly="false" ma:fieldId="{b2f944ca-d7b4-479f-83be-7a711dbb0010}" ma:sspId="13a7ba8c-7457-4356-a6e9-e6f891afc8fd" ma:termSetId="71a8f656-dccb-4916-8370-91b3a5cc5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P_Renault_SecurityClassification_TaxHT0" ma:index="11" nillable="true" ma:taxonomy="true" ma:internalName="ACP_Renault_SecurityClassification_TaxHT0" ma:taxonomyFieldName="ACP_Renault_SecurityClassification" ma:displayName="Security Classification" ma:readOnly="false" ma:fieldId="{1fe3dde9-5599-430d-9249-906cb7133fa1}" ma:sspId="13a7ba8c-7457-4356-a6e9-e6f891afc8fd" ma:termSetId="2e709ad7-3269-4298-a893-fa3c9641f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P_Renault_RelevantRegion_TaxHT0" ma:index="13" nillable="true" ma:taxonomy="true" ma:internalName="ACP_Renault_RelevantRegion_TaxHT0" ma:taxonomyFieldName="ACP_Renault_RelevantRegion" ma:displayName="Relevant Region" ma:readOnly="false" ma:fieldId="{d64cf655-2379-4890-ab5b-d3321d30528e}" ma:sspId="13a7ba8c-7457-4356-a6e9-e6f891afc8fd" ma:termSetId="4b81f2c5-3f4e-40a0-bf90-01b0cb8b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P_Renault_DocumentType_TaxHT0" ma:index="15" nillable="true" ma:taxonomy="true" ma:internalName="ACP_Renault_DocumentType_TaxHT0" ma:taxonomyFieldName="ACP_Renault_DocumentType" ma:displayName="Document Type" ma:readOnly="false" ma:fieldId="{05c1c4e8-8423-4693-876e-411f294059ad}" ma:sspId="13a7ba8c-7457-4356-a6e9-e6f891afc8fd" ma:termSetId="2d5155ef-5bfc-46c0-bd2b-77b51f4890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P_Renault_ExpirationDate" ma:index="16" nillable="true" ma:displayName="Expiration Date" ma:description="Indicates the document Expiration Date." ma:format="DateOnly" ma:hidden="true" ma:internalName="ACP_Renault_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bfd7-c037-4759-9b38-e825e441c15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bffc78b5-cd8d-45a7-b563-40693bcb85b7}" ma:internalName="TaxCatchAll" ma:showField="CatchAllData" ma:web="64bebfd7-c037-4759-9b38-e825e441c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3E30A-BA6E-450A-A2C9-A2067CF5BE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45AF4F-06B5-467F-BF46-D4A602BC6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2CFDD-E1F6-47F1-9AA5-F769C0C08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bebfd7-c037-4759-9b38-e825e441c157"/>
  </ds:schemaRefs>
</ds:datastoreItem>
</file>

<file path=customXml/itemProps4.xml><?xml version="1.0" encoding="utf-8"?>
<ds:datastoreItem xmlns:ds="http://schemas.openxmlformats.org/officeDocument/2006/customXml" ds:itemID="{FDB271B9-83C4-44C7-927B-598C6F83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bebfd7-c037-4759-9b38-e825e441c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Groupe's Press Release</vt:lpstr>
      <vt:lpstr>Template Groupe's Press Release</vt:lpstr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Groupe's Press Release</dc:title>
  <dc:creator>MAZIER Helene</dc:creator>
  <cp:lastModifiedBy>CAKIR Berk</cp:lastModifiedBy>
  <cp:revision>30</cp:revision>
  <dcterms:created xsi:type="dcterms:W3CDTF">2015-12-11T15:56:00Z</dcterms:created>
  <dcterms:modified xsi:type="dcterms:W3CDTF">2015-12-14T14:43:00Z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  <property fmtid="{D5CDD505-2E9C-101B-9397-08002B2CF9AE}" pid="4" name="ContentTypeId">
    <vt:lpwstr>0x01010066E3D1BD537B466A9FB4715B858074E900899E04623FB743D2ABDA955F9C2B667700BDE1E557D99C934AAF21072E049BB130</vt:lpwstr>
  </property>
  <property fmtid="{D5CDD505-2E9C-101B-9397-08002B2CF9AE}" pid="5" name="_NewReviewCycle">
    <vt:lpwstr/>
  </property>
</Properties>
</file>