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A0726F" w:rsidRPr="00EE5A42" w:rsidRDefault="00937189" w:rsidP="00EE5A42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16.0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7</w:t>
      </w:r>
      <w:r>
        <w:rPr>
          <w:rFonts w:ascii="Arial" w:eastAsia="Arial" w:hAnsi="Arial" w:cs="Arial"/>
          <w:spacing w:val="1"/>
          <w:position w:val="-1"/>
          <w:sz w:val="20"/>
        </w:rPr>
        <w:t>.2018</w:t>
      </w:r>
    </w:p>
    <w:p w:rsidR="00937189" w:rsidRPr="00CA3E1D" w:rsidRDefault="00937189" w:rsidP="00937189">
      <w:pPr>
        <w:spacing w:line="200" w:lineRule="exact"/>
        <w:rPr>
          <w:sz w:val="20"/>
        </w:rPr>
      </w:pPr>
    </w:p>
    <w:p w:rsidR="00937189" w:rsidRPr="00CA3E1D" w:rsidRDefault="00937189" w:rsidP="00937189">
      <w:pPr>
        <w:spacing w:before="13" w:line="280" w:lineRule="exact"/>
        <w:rPr>
          <w:sz w:val="28"/>
          <w:szCs w:val="28"/>
        </w:rPr>
      </w:pPr>
    </w:p>
    <w:p w:rsidR="00937189" w:rsidRPr="00566C27" w:rsidRDefault="004C4751" w:rsidP="00937189">
      <w:pPr>
        <w:spacing w:line="250" w:lineRule="auto"/>
        <w:ind w:left="1329" w:right="335"/>
        <w:rPr>
          <w:rFonts w:asciiTheme="minorHAnsi" w:eastAsia="Arial" w:hAnsiTheme="minorHAnsi" w:cstheme="minorHAnsi"/>
          <w:b/>
          <w:bCs/>
          <w:sz w:val="36"/>
          <w:szCs w:val="30"/>
        </w:rPr>
      </w:pPr>
      <w:r w:rsidRPr="00566C27">
        <w:rPr>
          <w:rFonts w:asciiTheme="minorHAnsi" w:hAnsiTheme="minorHAnsi" w:cstheme="minorHAnsi"/>
          <w:b/>
          <w:bCs/>
          <w:sz w:val="36"/>
          <w:szCs w:val="30"/>
        </w:rPr>
        <w:t>RENAULT GRUBU’NDAN İLK YARIDA REKOR SATIŞ ADEDİ</w:t>
      </w:r>
    </w:p>
    <w:p w:rsidR="00937189" w:rsidRPr="00566C27" w:rsidRDefault="00937189" w:rsidP="00937189">
      <w:pPr>
        <w:spacing w:line="250" w:lineRule="auto"/>
        <w:ind w:left="1329" w:right="335"/>
        <w:rPr>
          <w:rFonts w:asciiTheme="minorHAnsi" w:eastAsia="Arial" w:hAnsiTheme="minorHAnsi" w:cstheme="minorHAnsi"/>
          <w:b/>
          <w:bCs/>
          <w:sz w:val="30"/>
          <w:szCs w:val="30"/>
        </w:rPr>
      </w:pPr>
    </w:p>
    <w:p w:rsidR="00937189" w:rsidRPr="00566C27" w:rsidRDefault="004C4751" w:rsidP="00937189">
      <w:pPr>
        <w:spacing w:line="250" w:lineRule="auto"/>
        <w:ind w:left="1329" w:right="652"/>
        <w:rPr>
          <w:rFonts w:asciiTheme="minorHAnsi" w:eastAsia="Arial" w:hAnsiTheme="minorHAnsi" w:cstheme="minorHAnsi"/>
          <w:sz w:val="28"/>
          <w:szCs w:val="24"/>
        </w:rPr>
      </w:pPr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Renault Grubu,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yılın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ilk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yarısında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yüzde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9,8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artışla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, 2,1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milyon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araç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satarak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="00EB2302">
        <w:rPr>
          <w:rFonts w:asciiTheme="minorHAnsi" w:hAnsiTheme="minorHAnsi" w:cstheme="minorHAnsi"/>
          <w:b/>
          <w:bCs/>
          <w:sz w:val="28"/>
          <w:szCs w:val="24"/>
        </w:rPr>
        <w:t>yeni</w:t>
      </w:r>
      <w:proofErr w:type="spellEnd"/>
      <w:r w:rsidR="00EB2302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="00EB2302">
        <w:rPr>
          <w:rFonts w:asciiTheme="minorHAnsi" w:hAnsiTheme="minorHAnsi" w:cstheme="minorHAnsi"/>
          <w:b/>
          <w:bCs/>
          <w:sz w:val="28"/>
          <w:szCs w:val="24"/>
        </w:rPr>
        <w:t>bir</w:t>
      </w:r>
      <w:proofErr w:type="spellEnd"/>
      <w:r w:rsidR="00EB2302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="00EB2302">
        <w:rPr>
          <w:rFonts w:asciiTheme="minorHAnsi" w:hAnsiTheme="minorHAnsi" w:cstheme="minorHAnsi"/>
          <w:b/>
          <w:bCs/>
          <w:sz w:val="28"/>
          <w:szCs w:val="24"/>
        </w:rPr>
        <w:t>rekor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 w:val="28"/>
          <w:szCs w:val="24"/>
        </w:rPr>
        <w:t>kırdı</w:t>
      </w:r>
      <w:proofErr w:type="spellEnd"/>
      <w:r w:rsidRPr="00566C27">
        <w:rPr>
          <w:rFonts w:asciiTheme="minorHAnsi" w:hAnsiTheme="minorHAnsi" w:cstheme="minorHAnsi"/>
          <w:b/>
          <w:bCs/>
          <w:sz w:val="28"/>
          <w:szCs w:val="24"/>
        </w:rPr>
        <w:t xml:space="preserve">. </w:t>
      </w:r>
    </w:p>
    <w:p w:rsidR="00937189" w:rsidRPr="00566C27" w:rsidRDefault="00937189" w:rsidP="00937189">
      <w:pPr>
        <w:spacing w:before="8" w:line="190" w:lineRule="exact"/>
        <w:rPr>
          <w:rFonts w:asciiTheme="minorHAnsi" w:hAnsiTheme="minorHAnsi" w:cstheme="minorHAnsi"/>
          <w:szCs w:val="24"/>
        </w:rPr>
      </w:pPr>
    </w:p>
    <w:p w:rsidR="00937189" w:rsidRPr="00566C27" w:rsidRDefault="00937189" w:rsidP="00937189">
      <w:pPr>
        <w:spacing w:before="8" w:line="190" w:lineRule="exact"/>
        <w:rPr>
          <w:rFonts w:asciiTheme="minorHAnsi" w:hAnsiTheme="minorHAnsi" w:cstheme="minorHAnsi"/>
          <w:szCs w:val="24"/>
        </w:rPr>
      </w:pPr>
    </w:p>
    <w:p w:rsidR="00937189" w:rsidRPr="00566C27" w:rsidRDefault="00937189" w:rsidP="00937189">
      <w:pPr>
        <w:spacing w:after="120"/>
        <w:ind w:left="1327" w:right="652"/>
        <w:jc w:val="both"/>
        <w:rPr>
          <w:rFonts w:asciiTheme="minorHAnsi" w:eastAsia="Arial" w:hAnsiTheme="minorHAnsi" w:cstheme="minorHAnsi"/>
          <w:b/>
          <w:bCs/>
          <w:szCs w:val="24"/>
        </w:rPr>
      </w:pPr>
      <w:r w:rsidRPr="00566C27">
        <w:rPr>
          <w:rFonts w:asciiTheme="minorHAnsi" w:hAnsiTheme="minorHAnsi" w:cstheme="minorHAnsi"/>
          <w:b/>
          <w:bCs/>
          <w:szCs w:val="24"/>
        </w:rPr>
        <w:t xml:space="preserve">• 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>1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 Ocak 2018’den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itibaren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grup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markaları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arasına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eklen</w:t>
      </w:r>
      <w:r w:rsidRPr="00566C27">
        <w:rPr>
          <w:rFonts w:asciiTheme="minorHAnsi" w:hAnsiTheme="minorHAnsi" w:cstheme="minorHAnsi"/>
          <w:b/>
          <w:bCs/>
          <w:szCs w:val="24"/>
        </w:rPr>
        <w:t>en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Jinbe</w:t>
      </w:r>
      <w:r w:rsidR="00423844">
        <w:rPr>
          <w:rFonts w:asciiTheme="minorHAnsi" w:hAnsiTheme="minorHAnsi" w:cstheme="minorHAnsi"/>
          <w:b/>
          <w:bCs/>
          <w:szCs w:val="24"/>
        </w:rPr>
        <w:t xml:space="preserve">i </w:t>
      </w:r>
      <w:proofErr w:type="spellStart"/>
      <w:r w:rsidR="00423844">
        <w:rPr>
          <w:rFonts w:asciiTheme="minorHAnsi" w:hAnsiTheme="minorHAnsi" w:cstheme="minorHAnsi"/>
          <w:b/>
          <w:bCs/>
          <w:szCs w:val="24"/>
        </w:rPr>
        <w:t>ve</w:t>
      </w:r>
      <w:proofErr w:type="spellEnd"/>
      <w:r w:rsidR="00423844">
        <w:rPr>
          <w:rFonts w:asciiTheme="minorHAnsi" w:hAnsiTheme="minorHAnsi" w:cstheme="minorHAnsi"/>
          <w:b/>
          <w:bCs/>
          <w:szCs w:val="24"/>
        </w:rPr>
        <w:t xml:space="preserve"> Huasong ile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Renault Grubu</w:t>
      </w:r>
      <w:r w:rsidR="00423844">
        <w:rPr>
          <w:rFonts w:asciiTheme="minorHAnsi" w:hAnsiTheme="minorHAnsi" w:cstheme="minorHAnsi"/>
          <w:b/>
          <w:bCs/>
          <w:szCs w:val="24"/>
        </w:rPr>
        <w:t>,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yılın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ilk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yarısında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satış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>larını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yüzde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9,8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artırdı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. </w:t>
      </w:r>
      <w:bookmarkStart w:id="0" w:name="_Hlk518914971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2017’de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yüzde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4,2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büyüyen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pazarda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="00B24C25">
        <w:rPr>
          <w:rFonts w:asciiTheme="minorHAnsi" w:hAnsiTheme="minorHAnsi" w:cstheme="minorHAnsi"/>
          <w:b/>
          <w:bCs/>
          <w:szCs w:val="24"/>
        </w:rPr>
        <w:t xml:space="preserve">Renault Grubu </w:t>
      </w:r>
      <w:proofErr w:type="spellStart"/>
      <w:r w:rsidR="00B24C25">
        <w:rPr>
          <w:rFonts w:asciiTheme="minorHAnsi" w:hAnsiTheme="minorHAnsi" w:cstheme="minorHAnsi"/>
          <w:b/>
          <w:bCs/>
          <w:szCs w:val="24"/>
        </w:rPr>
        <w:t>satışlarını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yüzde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5,3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art</w:t>
      </w:r>
      <w:r w:rsidR="00B24C25">
        <w:rPr>
          <w:rFonts w:asciiTheme="minorHAnsi" w:hAnsiTheme="minorHAnsi" w:cstheme="minorHAnsi"/>
          <w:b/>
          <w:bCs/>
          <w:szCs w:val="24"/>
        </w:rPr>
        <w:t>tırmıştı</w:t>
      </w:r>
      <w:bookmarkEnd w:id="0"/>
      <w:proofErr w:type="spellEnd"/>
      <w:r w:rsidR="00B24C25">
        <w:rPr>
          <w:rFonts w:asciiTheme="minorHAnsi" w:hAnsiTheme="minorHAnsi" w:cstheme="minorHAnsi"/>
          <w:b/>
          <w:bCs/>
          <w:szCs w:val="24"/>
        </w:rPr>
        <w:t>.</w:t>
      </w:r>
    </w:p>
    <w:p w:rsidR="00937189" w:rsidRPr="00566C27" w:rsidRDefault="00937189" w:rsidP="00937189">
      <w:pPr>
        <w:spacing w:after="120"/>
        <w:ind w:left="1327" w:right="652"/>
        <w:jc w:val="both"/>
        <w:rPr>
          <w:rFonts w:asciiTheme="minorHAnsi" w:eastAsia="Arial" w:hAnsiTheme="minorHAnsi" w:cstheme="minorHAnsi"/>
          <w:b/>
          <w:bCs/>
          <w:szCs w:val="24"/>
        </w:rPr>
      </w:pPr>
      <w:r w:rsidRPr="00566C27">
        <w:rPr>
          <w:rFonts w:asciiTheme="minorHAnsi" w:hAnsiTheme="minorHAnsi" w:cstheme="minorHAnsi"/>
          <w:b/>
          <w:bCs/>
          <w:szCs w:val="24"/>
        </w:rPr>
        <w:t xml:space="preserve">• Renault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ve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Dacia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markaları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6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ayın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satış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rekoru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>nu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kırdı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>. Renault</w:t>
      </w:r>
      <w:r w:rsidR="00EB2302">
        <w:rPr>
          <w:rFonts w:asciiTheme="minorHAnsi" w:hAnsiTheme="minorHAnsi" w:cstheme="minorHAnsi"/>
          <w:b/>
          <w:bCs/>
          <w:szCs w:val="24"/>
        </w:rPr>
        <w:t>,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Avrupa’da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yine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en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çok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satan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ikinci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marka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oldu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>.</w:t>
      </w:r>
    </w:p>
    <w:p w:rsidR="00937189" w:rsidRPr="00566C27" w:rsidRDefault="00937189" w:rsidP="00937189">
      <w:pPr>
        <w:spacing w:after="120"/>
        <w:ind w:left="1327" w:right="652"/>
        <w:jc w:val="both"/>
        <w:rPr>
          <w:rFonts w:asciiTheme="minorHAnsi" w:eastAsia="Arial" w:hAnsiTheme="minorHAnsi" w:cstheme="minorHAnsi"/>
          <w:b/>
          <w:bCs/>
          <w:szCs w:val="24"/>
        </w:rPr>
      </w:pPr>
      <w:r w:rsidRPr="00566C27">
        <w:rPr>
          <w:rFonts w:asciiTheme="minorHAnsi" w:hAnsiTheme="minorHAnsi" w:cstheme="minorHAnsi"/>
          <w:b/>
          <w:bCs/>
          <w:szCs w:val="24"/>
        </w:rPr>
        <w:t xml:space="preserve">•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Grup</w:t>
      </w:r>
      <w:proofErr w:type="spellEnd"/>
      <w:r w:rsidR="00B24C25">
        <w:rPr>
          <w:rFonts w:asciiTheme="minorHAnsi" w:hAnsiTheme="minorHAnsi" w:cstheme="minorHAnsi"/>
          <w:b/>
          <w:bCs/>
          <w:szCs w:val="24"/>
        </w:rPr>
        <w:t>,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uluslararası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alanda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satış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rekorlarına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imza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attı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.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Satı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>şlar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Amerika’da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yüzde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66C27">
        <w:rPr>
          <w:rFonts w:asciiTheme="minorHAnsi" w:hAnsiTheme="minorHAnsi" w:cstheme="minorHAnsi"/>
          <w:b/>
          <w:bCs/>
          <w:szCs w:val="24"/>
        </w:rPr>
        <w:t>18,1</w:t>
      </w:r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,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Avrasya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bölgesinde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ise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yüzde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66C27">
        <w:rPr>
          <w:rFonts w:asciiTheme="minorHAnsi" w:hAnsiTheme="minorHAnsi" w:cstheme="minorHAnsi"/>
          <w:b/>
          <w:bCs/>
          <w:szCs w:val="24"/>
        </w:rPr>
        <w:t xml:space="preserve">15,1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arttı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>.</w:t>
      </w:r>
    </w:p>
    <w:p w:rsidR="00937189" w:rsidRPr="00566C27" w:rsidRDefault="00937189" w:rsidP="00937189">
      <w:pPr>
        <w:spacing w:after="120"/>
        <w:ind w:left="1327" w:right="652"/>
        <w:jc w:val="both"/>
        <w:rPr>
          <w:rFonts w:asciiTheme="minorHAnsi" w:eastAsia="Arial" w:hAnsiTheme="minorHAnsi" w:cstheme="minorHAnsi"/>
          <w:b/>
          <w:bCs/>
          <w:szCs w:val="24"/>
        </w:rPr>
      </w:pPr>
      <w:r w:rsidRPr="00566C27">
        <w:rPr>
          <w:rFonts w:asciiTheme="minorHAnsi" w:hAnsiTheme="minorHAnsi" w:cstheme="minorHAnsi"/>
          <w:b/>
          <w:bCs/>
          <w:szCs w:val="24"/>
        </w:rPr>
        <w:t xml:space="preserve">• Renault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uluslararası</w:t>
      </w:r>
      <w:proofErr w:type="spellEnd"/>
      <w:r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pazarlardaki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szCs w:val="24"/>
        </w:rPr>
        <w:t>faaliyetlerinin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geliştirilmesine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dayalı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2018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büyüme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hedefini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teyit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4C4751" w:rsidRPr="00566C27">
        <w:rPr>
          <w:rFonts w:asciiTheme="minorHAnsi" w:hAnsiTheme="minorHAnsi" w:cstheme="minorHAnsi"/>
          <w:b/>
          <w:bCs/>
          <w:szCs w:val="24"/>
        </w:rPr>
        <w:t>ediyor</w:t>
      </w:r>
      <w:proofErr w:type="spellEnd"/>
      <w:r w:rsidR="004C4751" w:rsidRPr="00566C27">
        <w:rPr>
          <w:rFonts w:asciiTheme="minorHAnsi" w:hAnsiTheme="minorHAnsi" w:cstheme="minorHAnsi"/>
          <w:b/>
          <w:bCs/>
          <w:szCs w:val="24"/>
        </w:rPr>
        <w:t>.</w:t>
      </w:r>
    </w:p>
    <w:p w:rsidR="00937189" w:rsidRPr="00566C27" w:rsidRDefault="00937189" w:rsidP="00937189">
      <w:pPr>
        <w:spacing w:line="200" w:lineRule="exact"/>
        <w:rPr>
          <w:rFonts w:asciiTheme="minorHAnsi" w:hAnsiTheme="minorHAnsi" w:cstheme="minorHAnsi"/>
          <w:sz w:val="20"/>
        </w:rPr>
      </w:pPr>
    </w:p>
    <w:p w:rsidR="00937189" w:rsidRPr="00566C27" w:rsidRDefault="00B168E2" w:rsidP="00B168E2">
      <w:pPr>
        <w:spacing w:line="250" w:lineRule="auto"/>
        <w:ind w:left="1332" w:right="652"/>
        <w:jc w:val="both"/>
        <w:rPr>
          <w:rFonts w:asciiTheme="minorHAnsi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Renault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Grubu</w:t>
      </w:r>
      <w:r w:rsidR="00B24C25">
        <w:rPr>
          <w:rFonts w:asciiTheme="minorHAnsi" w:hAnsiTheme="minorHAnsi" w:cstheme="minorHAnsi"/>
          <w:color w:val="000000" w:themeColor="text1"/>
        </w:rPr>
        <w:t>’nun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(LADA, Jinbei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Huasong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dahil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küresel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binek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+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hafif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ticari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9,8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Grup’un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p</w:t>
      </w:r>
      <w:r w:rsidRPr="00566C27">
        <w:rPr>
          <w:rFonts w:asciiTheme="minorHAnsi" w:hAnsiTheme="minorHAnsi" w:cstheme="minorHAnsi"/>
          <w:color w:val="000000" w:themeColor="text1"/>
        </w:rPr>
        <w:t>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böylece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4,3’</w:t>
      </w:r>
      <w:r w:rsidR="00E014D9">
        <w:rPr>
          <w:rFonts w:asciiTheme="minorHAnsi" w:hAnsiTheme="minorHAnsi" w:cstheme="minorHAnsi"/>
          <w:color w:val="000000" w:themeColor="text1"/>
        </w:rPr>
        <w:t>e</w:t>
      </w:r>
      <w:bookmarkStart w:id="1" w:name="_GoBack"/>
      <w:bookmarkEnd w:id="1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yükseldi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 (2017 ‘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göre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+0,2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).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</w:p>
    <w:p w:rsidR="00B168E2" w:rsidRPr="00566C27" w:rsidRDefault="00937189" w:rsidP="00B168E2">
      <w:pPr>
        <w:spacing w:line="250" w:lineRule="auto"/>
        <w:ind w:left="1332" w:right="652"/>
        <w:jc w:val="both"/>
        <w:rPr>
          <w:rFonts w:asciiTheme="minorHAnsi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Renault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Dacia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markaları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yarıda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rekoru</w:t>
      </w:r>
      <w:r w:rsidR="00B168E2" w:rsidRPr="00566C27">
        <w:rPr>
          <w:rFonts w:asciiTheme="minorHAnsi" w:hAnsiTheme="minorHAnsi" w:cstheme="minorHAnsi"/>
          <w:color w:val="000000" w:themeColor="text1"/>
        </w:rPr>
        <w:t>na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imza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attı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, 1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milyon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378 bin 583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adet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>Renault</w:t>
      </w:r>
      <w:r w:rsidR="00B24C25">
        <w:rPr>
          <w:rFonts w:asciiTheme="minorHAnsi" w:hAnsiTheme="minorHAnsi" w:cstheme="minorHAnsi"/>
          <w:color w:val="000000" w:themeColor="text1"/>
        </w:rPr>
        <w:t xml:space="preserve">, </w:t>
      </w:r>
      <w:r w:rsidR="00B168E2" w:rsidRPr="00566C27">
        <w:rPr>
          <w:rFonts w:asciiTheme="minorHAnsi" w:hAnsiTheme="minorHAnsi" w:cstheme="minorHAnsi"/>
          <w:color w:val="000000" w:themeColor="text1"/>
        </w:rPr>
        <w:t xml:space="preserve">378 bin 095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adet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Dacia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olmak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üzere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2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milyon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67 bin 695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adet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araç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satışı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168E2" w:rsidRPr="00566C27">
        <w:rPr>
          <w:rFonts w:asciiTheme="minorHAnsi" w:hAnsiTheme="minorHAnsi" w:cstheme="minorHAnsi"/>
          <w:color w:val="000000" w:themeColor="text1"/>
        </w:rPr>
        <w:t>gerçekleştirdi</w:t>
      </w:r>
      <w:proofErr w:type="spellEnd"/>
      <w:r w:rsidR="00B168E2"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E2619A" w:rsidRPr="00566C27" w:rsidRDefault="00B168E2" w:rsidP="00937189">
      <w:pPr>
        <w:spacing w:line="250" w:lineRule="auto"/>
        <w:ind w:left="1332" w:right="652"/>
        <w:jc w:val="both"/>
        <w:rPr>
          <w:rFonts w:asciiTheme="minorHAnsi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>Renault Samsung Motors</w:t>
      </w:r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26,9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azalırken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LADA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24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1 Ocak 2018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tarihinden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itibaren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geçerli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olmak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üzere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r w:rsidR="00E2619A" w:rsidRPr="00566C27">
        <w:rPr>
          <w:rFonts w:asciiTheme="minorHAnsi" w:hAnsiTheme="minorHAnsi" w:cstheme="minorHAnsi"/>
          <w:color w:val="000000" w:themeColor="text1"/>
        </w:rPr>
        <w:t>Renault Grubu</w:t>
      </w:r>
      <w:r w:rsidR="007D74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aynı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zamanda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D74CE">
        <w:rPr>
          <w:rFonts w:asciiTheme="minorHAnsi" w:hAnsiTheme="minorHAnsi" w:cstheme="minorHAnsi"/>
          <w:color w:val="000000" w:themeColor="text1"/>
        </w:rPr>
        <w:t>toplamda</w:t>
      </w:r>
      <w:proofErr w:type="spellEnd"/>
      <w:r w:rsidR="007D74CE">
        <w:rPr>
          <w:rFonts w:asciiTheme="minorHAnsi" w:hAnsiTheme="minorHAnsi" w:cstheme="minorHAnsi"/>
          <w:color w:val="000000" w:themeColor="text1"/>
        </w:rPr>
        <w:t xml:space="preserve"> 85 bin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rakamına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ulaşan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Jinbei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Huasong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markalarının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rakamlarını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da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bünyesine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dahil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2619A" w:rsidRPr="00566C27">
        <w:rPr>
          <w:rFonts w:asciiTheme="minorHAnsi" w:hAnsiTheme="minorHAnsi" w:cstheme="minorHAnsi"/>
          <w:color w:val="000000" w:themeColor="text1"/>
        </w:rPr>
        <w:t>etti</w:t>
      </w:r>
      <w:proofErr w:type="spellEnd"/>
      <w:r w:rsidR="00E2619A" w:rsidRPr="00566C27">
        <w:rPr>
          <w:rFonts w:asciiTheme="minorHAnsi" w:hAnsiTheme="minorHAnsi" w:cstheme="minorHAnsi"/>
          <w:color w:val="000000" w:themeColor="text1"/>
        </w:rPr>
        <w:t>.</w:t>
      </w:r>
    </w:p>
    <w:p w:rsidR="00E2619A" w:rsidRPr="00566C27" w:rsidRDefault="00E2619A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E2619A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1F580B">
        <w:rPr>
          <w:rFonts w:asciiTheme="minorHAnsi" w:hAnsiTheme="minorHAnsi" w:cstheme="minorHAnsi"/>
          <w:iCs/>
          <w:color w:val="000000" w:themeColor="text1"/>
        </w:rPr>
        <w:t xml:space="preserve">Renault Grubu </w:t>
      </w:r>
      <w:proofErr w:type="spellStart"/>
      <w:r w:rsidRPr="001F580B">
        <w:rPr>
          <w:rFonts w:asciiTheme="minorHAnsi" w:hAnsiTheme="minorHAnsi" w:cstheme="minorHAnsi"/>
          <w:iCs/>
          <w:color w:val="000000" w:themeColor="text1"/>
        </w:rPr>
        <w:t>İcra</w:t>
      </w:r>
      <w:proofErr w:type="spellEnd"/>
      <w:r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Pr="001F580B">
        <w:rPr>
          <w:rFonts w:asciiTheme="minorHAnsi" w:hAnsiTheme="minorHAnsi" w:cstheme="minorHAnsi"/>
          <w:iCs/>
          <w:color w:val="000000" w:themeColor="text1"/>
        </w:rPr>
        <w:t>Kurulu</w:t>
      </w:r>
      <w:proofErr w:type="spellEnd"/>
      <w:r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Pr="001F580B">
        <w:rPr>
          <w:rFonts w:asciiTheme="minorHAnsi" w:hAnsiTheme="minorHAnsi" w:cstheme="minorHAnsi"/>
          <w:iCs/>
          <w:color w:val="000000" w:themeColor="text1"/>
        </w:rPr>
        <w:t>üyesi</w:t>
      </w:r>
      <w:proofErr w:type="spellEnd"/>
      <w:r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Pr="001F580B">
        <w:rPr>
          <w:rFonts w:asciiTheme="minorHAnsi" w:hAnsiTheme="minorHAnsi" w:cstheme="minorHAnsi"/>
          <w:iCs/>
          <w:color w:val="000000" w:themeColor="text1"/>
        </w:rPr>
        <w:t>ve</w:t>
      </w:r>
      <w:proofErr w:type="spellEnd"/>
      <w:r w:rsidR="001F580B"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1F580B" w:rsidRPr="001F580B">
        <w:rPr>
          <w:rFonts w:asciiTheme="minorHAnsi" w:hAnsiTheme="minorHAnsi" w:cstheme="minorHAnsi"/>
          <w:iCs/>
          <w:color w:val="000000" w:themeColor="text1"/>
        </w:rPr>
        <w:t>Satış&amp;Pazarlama</w:t>
      </w:r>
      <w:proofErr w:type="spellEnd"/>
      <w:r w:rsidR="001F580B"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1F580B" w:rsidRPr="001F580B">
        <w:rPr>
          <w:rFonts w:asciiTheme="minorHAnsi" w:hAnsiTheme="minorHAnsi" w:cstheme="minorHAnsi"/>
          <w:iCs/>
          <w:color w:val="000000" w:themeColor="text1"/>
        </w:rPr>
        <w:t>Başkan</w:t>
      </w:r>
      <w:proofErr w:type="spellEnd"/>
      <w:r w:rsidR="001F580B"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proofErr w:type="spellStart"/>
      <w:r w:rsidR="001F580B" w:rsidRPr="001F580B">
        <w:rPr>
          <w:rFonts w:asciiTheme="minorHAnsi" w:hAnsiTheme="minorHAnsi" w:cstheme="minorHAnsi"/>
          <w:iCs/>
          <w:color w:val="000000" w:themeColor="text1"/>
        </w:rPr>
        <w:t>Yardımcısı</w:t>
      </w:r>
      <w:proofErr w:type="spellEnd"/>
      <w:r w:rsidRPr="001F580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1F580B">
        <w:rPr>
          <w:rFonts w:asciiTheme="minorHAnsi" w:hAnsiTheme="minorHAnsi" w:cstheme="minorHAnsi"/>
          <w:b/>
          <w:iCs/>
          <w:color w:val="000000" w:themeColor="text1"/>
        </w:rPr>
        <w:t>Thierry Koskas,</w:t>
      </w:r>
      <w:r w:rsidRPr="00566C27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“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Yılın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ilk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yarısında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gerçekleştirdiğimiz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yaklaşık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2,1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milyon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araç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i/>
          <w:iCs/>
          <w:color w:val="000000" w:themeColor="text1"/>
        </w:rPr>
        <w:t>satışı</w:t>
      </w:r>
      <w:proofErr w:type="spellEnd"/>
      <w:r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ile, </w:t>
      </w:r>
      <w:proofErr w:type="spellStart"/>
      <w:r w:rsidRPr="00566C27">
        <w:rPr>
          <w:rFonts w:asciiTheme="minorHAnsi" w:hAnsiTheme="minorHAnsi" w:cstheme="minorHAnsi"/>
          <w:i/>
          <w:iCs/>
          <w:color w:val="000000" w:themeColor="text1"/>
        </w:rPr>
        <w:t>üst</w:t>
      </w:r>
      <w:proofErr w:type="spellEnd"/>
      <w:r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i/>
          <w:iCs/>
          <w:color w:val="000000" w:themeColor="text1"/>
        </w:rPr>
        <w:t>üste</w:t>
      </w:r>
      <w:proofErr w:type="spellEnd"/>
      <w:r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i/>
          <w:iCs/>
          <w:color w:val="000000" w:themeColor="text1"/>
        </w:rPr>
        <w:t>üçüncü</w:t>
      </w:r>
      <w:proofErr w:type="spellEnd"/>
      <w:r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i/>
          <w:iCs/>
          <w:color w:val="000000" w:themeColor="text1"/>
        </w:rPr>
        <w:t>yıl</w:t>
      </w:r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da</w:t>
      </w:r>
      <w:proofErr w:type="spellEnd"/>
      <w:r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da</w:t>
      </w:r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yeni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bir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satış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rekoruna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imza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>attık</w:t>
      </w:r>
      <w:proofErr w:type="spellEnd"/>
      <w:r w:rsidR="00937189" w:rsidRPr="00566C27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yandan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Avrupa’da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payını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artırmaya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devam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ederken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diğer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yandan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da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uluslararası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alanda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özellikle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Latin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Amerika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Avrasya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Bölgesi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Afrika’da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olağanüstü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performans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gösteriyor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>.”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dedi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C648F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2.8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büyüme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gösteren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>Avrupa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pazarında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yılın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yarısındaki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milyon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70 bin 718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adet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araç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satışı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ile,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Grup’</w:t>
      </w:r>
      <w:r w:rsidR="00937189" w:rsidRPr="00566C27">
        <w:rPr>
          <w:rFonts w:asciiTheme="minorHAnsi" w:hAnsiTheme="minorHAnsi" w:cstheme="minorHAnsi"/>
          <w:color w:val="000000" w:themeColor="text1"/>
        </w:rPr>
        <w:t>un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4,4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göstermiş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oldu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</w:t>
      </w:r>
      <w:r w:rsidR="00207BD6">
        <w:rPr>
          <w:rFonts w:asciiTheme="minorHAnsi" w:hAnsiTheme="minorHAnsi" w:cstheme="minorHAnsi"/>
          <w:color w:val="000000" w:themeColor="text1"/>
        </w:rPr>
        <w:t>Renault Grubu,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Avrupa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pazarın</w:t>
      </w:r>
      <w:r w:rsidRPr="00566C27">
        <w:rPr>
          <w:rFonts w:asciiTheme="minorHAnsi" w:hAnsiTheme="minorHAnsi" w:cstheme="minorHAnsi"/>
          <w:color w:val="000000" w:themeColor="text1"/>
        </w:rPr>
        <w:t>daki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0,2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artırarak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11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payına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ulaştı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b/>
          <w:bCs/>
          <w:color w:val="000000" w:themeColor="text1"/>
        </w:rPr>
        <w:t>Renault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markası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tek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başına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C576B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C576B" w:rsidRPr="00566C27">
        <w:rPr>
          <w:rFonts w:asciiTheme="minorHAnsi" w:hAnsiTheme="minorHAnsi" w:cstheme="minorHAnsi"/>
          <w:color w:val="000000" w:themeColor="text1"/>
        </w:rPr>
        <w:t xml:space="preserve"> 1,1 </w:t>
      </w:r>
      <w:proofErr w:type="spellStart"/>
      <w:proofErr w:type="gramStart"/>
      <w:r w:rsidR="006C576B" w:rsidRPr="00566C27">
        <w:rPr>
          <w:rFonts w:asciiTheme="minorHAnsi" w:hAnsiTheme="minorHAnsi" w:cstheme="minorHAnsi"/>
          <w:color w:val="000000" w:themeColor="text1"/>
        </w:rPr>
        <w:t>artırarak</w:t>
      </w:r>
      <w:proofErr w:type="spellEnd"/>
      <w:r w:rsidR="006C576B" w:rsidRPr="00566C27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="006C576B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proofErr w:type="gramEnd"/>
      <w:r w:rsidR="006C576B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207BD6">
        <w:rPr>
          <w:rFonts w:asciiTheme="minorHAnsi" w:hAnsiTheme="minorHAnsi" w:cstheme="minorHAnsi"/>
          <w:color w:val="000000" w:themeColor="text1"/>
        </w:rPr>
        <w:t xml:space="preserve">8,1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payına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ulaştı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. Clio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Avrupa’da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en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çok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ikinci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207BD6">
        <w:rPr>
          <w:rFonts w:asciiTheme="minorHAnsi" w:hAnsiTheme="minorHAnsi" w:cstheme="minorHAnsi"/>
          <w:color w:val="000000" w:themeColor="text1"/>
        </w:rPr>
        <w:t xml:space="preserve">model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olurken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Captur</w:t>
      </w:r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kendi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sınıfının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lider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crossover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modeli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v</w:t>
      </w:r>
      <w:r w:rsidR="00207BD6">
        <w:rPr>
          <w:rFonts w:asciiTheme="minorHAnsi" w:hAnsiTheme="minorHAnsi" w:cstheme="minorHAnsi"/>
          <w:color w:val="000000" w:themeColor="text1"/>
        </w:rPr>
        <w:t>e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Sce</w:t>
      </w:r>
      <w:r w:rsidRPr="00566C27">
        <w:rPr>
          <w:rFonts w:asciiTheme="minorHAnsi" w:hAnsiTheme="minorHAnsi" w:cstheme="minorHAnsi"/>
          <w:color w:val="000000" w:themeColor="text1"/>
        </w:rPr>
        <w:t>nic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kendi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segmendinde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en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çok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model</w:t>
      </w:r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olarak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yer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25C6" w:rsidRPr="00566C27">
        <w:rPr>
          <w:rFonts w:asciiTheme="minorHAnsi" w:hAnsiTheme="minorHAnsi" w:cstheme="minorHAnsi"/>
          <w:color w:val="000000" w:themeColor="text1"/>
        </w:rPr>
        <w:t>alıyor</w:t>
      </w:r>
      <w:proofErr w:type="spellEnd"/>
      <w:r w:rsidR="009D25C6"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D25C6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EB2302">
        <w:rPr>
          <w:rFonts w:asciiTheme="minorHAnsi" w:hAnsiTheme="minorHAnsi" w:cstheme="minorHAnsi"/>
          <w:color w:val="000000" w:themeColor="text1"/>
        </w:rPr>
        <w:t xml:space="preserve">Renault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21,9’luk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ile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e</w:t>
      </w:r>
      <w:r w:rsidR="00937189" w:rsidRPr="00EB2302">
        <w:rPr>
          <w:rFonts w:asciiTheme="minorHAnsi" w:hAnsiTheme="minorHAnsi" w:cstheme="minorHAnsi"/>
          <w:color w:val="000000" w:themeColor="text1"/>
        </w:rPr>
        <w:t>lektrikli</w:t>
      </w:r>
      <w:proofErr w:type="spellEnd"/>
      <w:r w:rsidR="00937189"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EB2302">
        <w:rPr>
          <w:rFonts w:asciiTheme="minorHAnsi" w:hAnsiTheme="minorHAnsi" w:cstheme="minorHAnsi"/>
          <w:color w:val="000000" w:themeColor="text1"/>
        </w:rPr>
        <w:t>araçlar</w:t>
      </w:r>
      <w:proofErr w:type="spellEnd"/>
      <w:r w:rsidR="00937189"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EB2302">
        <w:rPr>
          <w:rFonts w:asciiTheme="minorHAnsi" w:hAnsiTheme="minorHAnsi" w:cstheme="minorHAnsi"/>
          <w:color w:val="000000" w:themeColor="text1"/>
        </w:rPr>
        <w:t>segmentinde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liderliğini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korurken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adedini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 xml:space="preserve"> 11,6 </w:t>
      </w:r>
      <w:proofErr w:type="spellStart"/>
      <w:r w:rsidRPr="00EB2302">
        <w:rPr>
          <w:rFonts w:asciiTheme="minorHAnsi" w:hAnsiTheme="minorHAnsi" w:cstheme="minorHAnsi"/>
          <w:color w:val="000000" w:themeColor="text1"/>
        </w:rPr>
        <w:t>artırdı</w:t>
      </w:r>
      <w:proofErr w:type="spellEnd"/>
      <w:r w:rsidRPr="00EB2302">
        <w:rPr>
          <w:rFonts w:asciiTheme="minorHAnsi" w:hAnsiTheme="minorHAnsi" w:cstheme="minorHAnsi"/>
          <w:color w:val="000000" w:themeColor="text1"/>
        </w:rPr>
        <w:t>.</w:t>
      </w:r>
      <w:r w:rsidRPr="00566C27">
        <w:rPr>
          <w:rFonts w:asciiTheme="minorHAnsi" w:hAnsiTheme="minorHAnsi" w:cstheme="minorHAnsi"/>
          <w:color w:val="000000" w:themeColor="text1"/>
        </w:rPr>
        <w:t xml:space="preserve"> ZOE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>1</w:t>
      </w:r>
      <w:r w:rsidRPr="00566C27">
        <w:rPr>
          <w:rFonts w:asciiTheme="minorHAnsi" w:hAnsiTheme="minorHAnsi" w:cstheme="minorHAnsi"/>
          <w:color w:val="000000" w:themeColor="text1"/>
        </w:rPr>
        <w:t xml:space="preserve">,1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artarken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Kangoo Z.E.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>1</w:t>
      </w:r>
      <w:r w:rsidRPr="00566C27">
        <w:rPr>
          <w:rFonts w:asciiTheme="minorHAnsi" w:hAnsiTheme="minorHAnsi" w:cstheme="minorHAnsi"/>
          <w:color w:val="000000" w:themeColor="text1"/>
        </w:rPr>
        <w:t xml:space="preserve">25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Kangoo Z.E.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</w:t>
      </w:r>
      <w:r w:rsidR="00937189" w:rsidRPr="00566C27">
        <w:rPr>
          <w:rFonts w:asciiTheme="minorHAnsi" w:hAnsiTheme="minorHAnsi" w:cstheme="minorHAnsi"/>
          <w:color w:val="000000" w:themeColor="text1"/>
        </w:rPr>
        <w:t>odeli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lider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olduğu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el</w:t>
      </w:r>
      <w:r w:rsidR="00207BD6">
        <w:rPr>
          <w:rFonts w:asciiTheme="minorHAnsi" w:hAnsiTheme="minorHAnsi" w:cstheme="minorHAnsi"/>
          <w:color w:val="000000" w:themeColor="text1"/>
        </w:rPr>
        <w:t>ektrikli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LCV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pazarında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38,9 paya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sahip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794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b/>
          <w:bCs/>
          <w:color w:val="000000" w:themeColor="text1"/>
        </w:rPr>
        <w:t xml:space="preserve">Dacia </w:t>
      </w:r>
      <w:proofErr w:type="spellStart"/>
      <w:r w:rsidR="003032BD" w:rsidRPr="00566C27">
        <w:rPr>
          <w:rFonts w:asciiTheme="minorHAnsi" w:hAnsiTheme="minorHAnsi" w:cstheme="minorHAnsi"/>
          <w:color w:val="000000" w:themeColor="text1"/>
        </w:rPr>
        <w:t>markası</w:t>
      </w:r>
      <w:proofErr w:type="spellEnd"/>
      <w:r w:rsidR="003032BD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32BD" w:rsidRPr="00566C27">
        <w:rPr>
          <w:rFonts w:asciiTheme="minorHAnsi" w:hAnsiTheme="minorHAnsi" w:cstheme="minorHAnsi"/>
          <w:color w:val="000000" w:themeColor="text1"/>
        </w:rPr>
        <w:t>Avrupa’da</w:t>
      </w:r>
      <w:proofErr w:type="spellEnd"/>
      <w:r w:rsidR="003032BD" w:rsidRPr="00566C27">
        <w:rPr>
          <w:rFonts w:asciiTheme="minorHAnsi" w:hAnsiTheme="minorHAnsi" w:cstheme="minorHAnsi"/>
          <w:color w:val="000000" w:themeColor="text1"/>
        </w:rPr>
        <w:t xml:space="preserve"> 281 bin </w:t>
      </w:r>
      <w:r w:rsidRPr="00566C27">
        <w:rPr>
          <w:rFonts w:asciiTheme="minorHAnsi" w:hAnsiTheme="minorHAnsi" w:cstheme="minorHAnsi"/>
          <w:color w:val="000000" w:themeColor="text1"/>
        </w:rPr>
        <w:t xml:space="preserve">225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araç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ile (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14,6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ya</w:t>
      </w:r>
      <w:r w:rsidR="0049775A" w:rsidRPr="00566C27">
        <w:rPr>
          <w:rFonts w:asciiTheme="minorHAnsi" w:hAnsiTheme="minorHAnsi" w:cstheme="minorHAnsi"/>
          <w:color w:val="000000" w:themeColor="text1"/>
        </w:rPr>
        <w:t>rı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yıl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rekorunu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kırdı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2,9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gibi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rekor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(0,3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ele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geçirmiş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oldu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Bu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temel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49775A" w:rsidRPr="00566C27">
        <w:rPr>
          <w:rFonts w:asciiTheme="minorHAnsi" w:hAnsiTheme="minorHAnsi" w:cstheme="minorHAnsi"/>
          <w:color w:val="000000" w:themeColor="text1"/>
        </w:rPr>
        <w:t xml:space="preserve">2. </w:t>
      </w:r>
      <w:proofErr w:type="spellStart"/>
      <w:proofErr w:type="gramStart"/>
      <w:r w:rsidR="0049775A" w:rsidRPr="00566C27">
        <w:rPr>
          <w:rFonts w:asciiTheme="minorHAnsi" w:hAnsiTheme="minorHAnsi" w:cstheme="minorHAnsi"/>
          <w:color w:val="000000" w:themeColor="text1"/>
        </w:rPr>
        <w:t>nesil</w:t>
      </w:r>
      <w:proofErr w:type="spellEnd"/>
      <w:proofErr w:type="gram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Sandero </w:t>
      </w:r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altı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775A" w:rsidRPr="00566C27">
        <w:rPr>
          <w:rFonts w:asciiTheme="minorHAnsi" w:hAnsiTheme="minorHAnsi" w:cstheme="minorHAnsi"/>
          <w:color w:val="000000" w:themeColor="text1"/>
        </w:rPr>
        <w:t>ayda</w:t>
      </w:r>
      <w:proofErr w:type="spellEnd"/>
      <w:r w:rsidR="0049775A" w:rsidRPr="00566C27">
        <w:rPr>
          <w:rFonts w:asciiTheme="minorHAnsi" w:hAnsiTheme="minorHAnsi" w:cstheme="minorHAnsi"/>
          <w:color w:val="000000" w:themeColor="text1"/>
        </w:rPr>
        <w:t xml:space="preserve"> 63 bin </w:t>
      </w:r>
      <w:r w:rsidRPr="00566C27">
        <w:rPr>
          <w:rFonts w:asciiTheme="minorHAnsi" w:hAnsiTheme="minorHAnsi" w:cstheme="minorHAnsi"/>
          <w:color w:val="000000" w:themeColor="text1"/>
        </w:rPr>
        <w:t xml:space="preserve">900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rakamına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ulaşan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Yeni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Duster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sayesinde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gerçekleşti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794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794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b/>
          <w:bCs/>
          <w:color w:val="000000" w:themeColor="text1"/>
        </w:rPr>
        <w:t>Alpine</w:t>
      </w:r>
      <w:r w:rsidR="00442CD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42CD2" w:rsidRPr="00566C27">
        <w:rPr>
          <w:rFonts w:asciiTheme="minorHAnsi" w:hAnsiTheme="minorHAnsi" w:cstheme="minorHAnsi"/>
          <w:color w:val="000000" w:themeColor="text1"/>
        </w:rPr>
        <w:t>markası</w:t>
      </w:r>
      <w:proofErr w:type="spellEnd"/>
      <w:r w:rsidR="00442CD2" w:rsidRPr="00566C27">
        <w:rPr>
          <w:rFonts w:asciiTheme="minorHAnsi" w:hAnsiTheme="minorHAnsi" w:cstheme="minorHAnsi"/>
          <w:color w:val="000000" w:themeColor="text1"/>
        </w:rPr>
        <w:t>,</w:t>
      </w:r>
      <w:r w:rsidR="00207BD6">
        <w:rPr>
          <w:rFonts w:asciiTheme="minorHAnsi" w:hAnsiTheme="minorHAnsi" w:cstheme="minorHAnsi"/>
          <w:color w:val="000000" w:themeColor="text1"/>
        </w:rPr>
        <w:t xml:space="preserve"> 22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yıllık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tarihindeki</w:t>
      </w:r>
      <w:proofErr w:type="spellEnd"/>
      <w:r w:rsidR="00442CD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42CD2"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="00442CD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42CD2" w:rsidRPr="00566C27">
        <w:rPr>
          <w:rFonts w:asciiTheme="minorHAnsi" w:hAnsiTheme="minorHAnsi" w:cstheme="minorHAnsi"/>
          <w:color w:val="000000" w:themeColor="text1"/>
        </w:rPr>
        <w:t>rekoru</w:t>
      </w:r>
      <w:r w:rsidR="00207BD6">
        <w:rPr>
          <w:rFonts w:asciiTheme="minorHAnsi" w:hAnsiTheme="minorHAnsi" w:cstheme="minorHAnsi"/>
          <w:color w:val="000000" w:themeColor="text1"/>
        </w:rPr>
        <w:t>nu</w:t>
      </w:r>
      <w:proofErr w:type="spellEnd"/>
      <w:r w:rsidR="00442CD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42CD2" w:rsidRPr="00566C27">
        <w:rPr>
          <w:rFonts w:asciiTheme="minorHAnsi" w:hAnsiTheme="minorHAnsi" w:cstheme="minorHAnsi"/>
          <w:color w:val="000000" w:themeColor="text1"/>
        </w:rPr>
        <w:t>gerçekleştirdi</w:t>
      </w:r>
      <w:proofErr w:type="spellEnd"/>
      <w:r w:rsidR="00442CD2" w:rsidRPr="00566C27">
        <w:rPr>
          <w:rFonts w:asciiTheme="minorHAnsi" w:hAnsiTheme="minorHAnsi" w:cstheme="minorHAnsi"/>
          <w:color w:val="000000" w:themeColor="text1"/>
        </w:rPr>
        <w:t>.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442CD2" w:rsidRPr="00566C27">
        <w:rPr>
          <w:rFonts w:asciiTheme="minorHAnsi" w:hAnsiTheme="minorHAnsi" w:cstheme="minorHAnsi"/>
          <w:color w:val="000000" w:themeColor="text1"/>
        </w:rPr>
        <w:t>L</w:t>
      </w:r>
      <w:r w:rsidRPr="00566C27">
        <w:rPr>
          <w:rFonts w:asciiTheme="minorHAnsi" w:hAnsiTheme="minorHAnsi" w:cstheme="minorHAnsi"/>
          <w:color w:val="000000" w:themeColor="text1"/>
        </w:rPr>
        <w:t xml:space="preserve">ansman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tarihinden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bu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yana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4</w:t>
      </w:r>
      <w:r w:rsidR="00442CD2" w:rsidRPr="00566C27">
        <w:rPr>
          <w:rFonts w:asciiTheme="minorHAnsi" w:hAnsiTheme="minorHAnsi" w:cstheme="minorHAnsi"/>
          <w:color w:val="000000" w:themeColor="text1"/>
        </w:rPr>
        <w:t xml:space="preserve"> bin </w:t>
      </w:r>
      <w:r w:rsidRPr="00566C27">
        <w:rPr>
          <w:rFonts w:asciiTheme="minorHAnsi" w:hAnsiTheme="minorHAnsi" w:cstheme="minorHAnsi"/>
          <w:color w:val="000000" w:themeColor="text1"/>
        </w:rPr>
        <w:t xml:space="preserve">800’ün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üzerinde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araç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satıldı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794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207BD6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Avrupa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d</w:t>
      </w:r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>ışında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</w:rPr>
        <w:t>G</w:t>
      </w:r>
      <w:r w:rsidR="00BA2E57" w:rsidRPr="00566C27">
        <w:rPr>
          <w:rFonts w:asciiTheme="minorHAnsi" w:hAnsiTheme="minorHAnsi" w:cstheme="minorHAnsi"/>
          <w:color w:val="000000" w:themeColor="text1"/>
        </w:rPr>
        <w:t>rup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16,4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937189" w:rsidRPr="00566C27">
        <w:rPr>
          <w:rFonts w:asciiTheme="minorHAnsi" w:hAnsiTheme="minorHAnsi" w:cstheme="minorHAnsi"/>
        </w:rPr>
        <w:t xml:space="preserve">. </w:t>
      </w:r>
      <w:proofErr w:type="spellStart"/>
      <w:r w:rsidR="00156D17" w:rsidRPr="00566C27">
        <w:rPr>
          <w:rFonts w:asciiTheme="minorHAnsi" w:hAnsiTheme="minorHAnsi" w:cstheme="minorHAnsi"/>
        </w:rPr>
        <w:t>K</w:t>
      </w:r>
      <w:r w:rsidR="00BA2E57" w:rsidRPr="00566C27">
        <w:rPr>
          <w:rFonts w:asciiTheme="minorHAnsi" w:hAnsiTheme="minorHAnsi" w:cstheme="minorHAnsi"/>
          <w:color w:val="000000" w:themeColor="text1"/>
        </w:rPr>
        <w:t>uzey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Güney 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Amerika’da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8,1</w:t>
      </w:r>
      <w:r w:rsidR="001F587A" w:rsidRPr="00566C27">
        <w:rPr>
          <w:rFonts w:asciiTheme="minorHAnsi" w:hAnsiTheme="minorHAnsi" w:cstheme="minorHAnsi"/>
          <w:color w:val="000000" w:themeColor="text1"/>
        </w:rPr>
        <w:t>)</w:t>
      </w:r>
      <w:r w:rsidR="00BA2E57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Asya-Pasifik’te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BA2E57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BA2E57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>69,5</w:t>
      </w:r>
      <w:r w:rsidR="001F587A"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Avrasya’da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(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15,1)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arttı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Afrika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Orta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Doğu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Hindistan’da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ise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satışlar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düşüş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1F587A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1F587A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>4,5).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F04C0B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bookmarkStart w:id="2" w:name="_Hlk517431611"/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6,3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genişleyen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b/>
          <w:color w:val="000000" w:themeColor="text1"/>
        </w:rPr>
        <w:t>Kuzey</w:t>
      </w:r>
      <w:proofErr w:type="spellEnd"/>
      <w:r w:rsidR="00937189"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b/>
          <w:color w:val="000000" w:themeColor="text1"/>
        </w:rPr>
        <w:t>ve</w:t>
      </w:r>
      <w:proofErr w:type="spellEnd"/>
      <w:r w:rsidR="00937189" w:rsidRPr="00566C27">
        <w:rPr>
          <w:rFonts w:asciiTheme="minorHAnsi" w:hAnsiTheme="minorHAnsi" w:cstheme="minorHAnsi"/>
          <w:b/>
          <w:color w:val="000000" w:themeColor="text1"/>
        </w:rPr>
        <w:t xml:space="preserve"> Güney </w:t>
      </w:r>
      <w:proofErr w:type="spellStart"/>
      <w:r w:rsidR="00937189" w:rsidRPr="00566C27">
        <w:rPr>
          <w:rFonts w:asciiTheme="minorHAnsi" w:hAnsiTheme="minorHAnsi" w:cstheme="minorHAnsi"/>
          <w:b/>
          <w:color w:val="000000" w:themeColor="text1"/>
        </w:rPr>
        <w:t>Amerika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pazarında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18,1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>,</w:t>
      </w:r>
      <w:r w:rsidRPr="00566C27">
        <w:rPr>
          <w:rFonts w:asciiTheme="minorHAnsi" w:hAnsiTheme="minorHAnsi" w:cstheme="minorHAnsi"/>
          <w:color w:val="000000" w:themeColor="text1"/>
        </w:rPr>
        <w:t xml:space="preserve"> 2018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yılının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yarısında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0,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7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puanlık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ile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7,3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gibi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rekor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elde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etti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Bu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performa</w:t>
      </w:r>
      <w:r w:rsidRPr="00566C27">
        <w:rPr>
          <w:rFonts w:asciiTheme="minorHAnsi" w:hAnsiTheme="minorHAnsi" w:cstheme="minorHAnsi"/>
          <w:color w:val="000000" w:themeColor="text1"/>
        </w:rPr>
        <w:t>ns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özelikle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eksiksiz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SUV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ürün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gamı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sayesinde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gerçekleşti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F04C0B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>Renault Grubu</w:t>
      </w:r>
      <w:r w:rsidR="00207BD6">
        <w:rPr>
          <w:rFonts w:asciiTheme="minorHAnsi" w:hAnsiTheme="minorHAnsi" w:cstheme="minorHAnsi"/>
          <w:color w:val="000000" w:themeColor="text1"/>
        </w:rPr>
        <w:t>,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dinamik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>Arjantin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pazarından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faydalanmaya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devam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etti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11,2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büyümesin</w:t>
      </w:r>
      <w:r w:rsidRPr="00566C27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ikiye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katlayarak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22,2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artırdı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Pazar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pay</w:t>
      </w:r>
      <w:r w:rsidRPr="00566C27">
        <w:rPr>
          <w:rFonts w:asciiTheme="minorHAnsi" w:hAnsiTheme="minorHAnsi" w:cstheme="minorHAnsi"/>
          <w:color w:val="000000" w:themeColor="text1"/>
        </w:rPr>
        <w:t>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1,3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ile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14,6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oldu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>.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Yılın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yarısında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13,7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büyüyen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>Brezilya</w:t>
      </w:r>
      <w:proofErr w:type="spellEnd"/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pazarı</w:t>
      </w:r>
      <w:r w:rsidRPr="00566C27">
        <w:rPr>
          <w:rFonts w:asciiTheme="minorHAnsi" w:hAnsiTheme="minorHAnsi" w:cstheme="minorHAnsi"/>
          <w:color w:val="000000" w:themeColor="text1"/>
        </w:rPr>
        <w:t>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Renault Grubu</w:t>
      </w:r>
      <w:r w:rsidR="00207BD6">
        <w:rPr>
          <w:rFonts w:asciiTheme="minorHAnsi" w:hAnsiTheme="minorHAnsi" w:cstheme="minorHAnsi"/>
          <w:color w:val="000000" w:themeColor="text1"/>
        </w:rPr>
        <w:t>,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27,8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artırdı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8,3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gibi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rekor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</w:t>
      </w:r>
      <w:r w:rsidRPr="00566C27">
        <w:rPr>
          <w:rFonts w:asciiTheme="minorHAnsi" w:hAnsiTheme="minorHAnsi" w:cstheme="minorHAnsi"/>
          <w:color w:val="000000" w:themeColor="text1"/>
        </w:rPr>
        <w:t>ayı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(0,9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elde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etti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Lansmanı 2017’nin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ikinci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yarısında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gerçekleştirilen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Kwid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her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iki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ülke</w:t>
      </w:r>
      <w:r w:rsidRPr="00566C27">
        <w:rPr>
          <w:rFonts w:asciiTheme="minorHAnsi" w:hAnsiTheme="minorHAnsi" w:cstheme="minorHAnsi"/>
          <w:color w:val="000000" w:themeColor="text1"/>
        </w:rPr>
        <w:t>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segmentinde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ikinci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sıraya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yerleşti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</w:rPr>
      </w:pPr>
      <w:proofErr w:type="spellStart"/>
      <w:r w:rsidRPr="00566C27">
        <w:rPr>
          <w:rFonts w:asciiTheme="minorHAnsi" w:hAnsiTheme="minorHAnsi" w:cstheme="minorHAnsi"/>
        </w:rPr>
        <w:t>Brilliance</w:t>
      </w:r>
      <w:proofErr w:type="spellEnd"/>
      <w:r w:rsidRPr="00566C27">
        <w:rPr>
          <w:rFonts w:asciiTheme="minorHAnsi" w:hAnsiTheme="minorHAnsi" w:cstheme="minorHAnsi"/>
        </w:rPr>
        <w:t xml:space="preserve"> China Automotive Holdings Limited ile </w:t>
      </w:r>
      <w:proofErr w:type="spellStart"/>
      <w:r w:rsidRPr="00566C27">
        <w:rPr>
          <w:rFonts w:asciiTheme="minorHAnsi" w:hAnsiTheme="minorHAnsi" w:cstheme="minorHAnsi"/>
        </w:rPr>
        <w:t>gerçekleştirilen</w:t>
      </w:r>
      <w:proofErr w:type="spellEnd"/>
      <w:r w:rsidR="00207BD6">
        <w:rPr>
          <w:rFonts w:asciiTheme="minorHAnsi" w:hAnsiTheme="minorHAnsi" w:cstheme="minorHAnsi"/>
        </w:rPr>
        <w:t xml:space="preserve"> </w:t>
      </w:r>
      <w:proofErr w:type="spellStart"/>
      <w:r w:rsidR="00207BD6">
        <w:rPr>
          <w:rFonts w:asciiTheme="minorHAnsi" w:hAnsiTheme="minorHAnsi" w:cstheme="minorHAnsi"/>
        </w:rPr>
        <w:t>ortaklık</w:t>
      </w:r>
      <w:proofErr w:type="spellEnd"/>
      <w:r w:rsidR="00207BD6">
        <w:rPr>
          <w:rFonts w:asciiTheme="minorHAnsi" w:hAnsiTheme="minorHAnsi" w:cstheme="minorHAnsi"/>
        </w:rPr>
        <w:t xml:space="preserve"> </w:t>
      </w:r>
      <w:proofErr w:type="spellStart"/>
      <w:r w:rsidR="00207BD6">
        <w:rPr>
          <w:rFonts w:asciiTheme="minorHAnsi" w:hAnsiTheme="minorHAnsi" w:cstheme="minorHAnsi"/>
        </w:rPr>
        <w:t>anlaşmasının</w:t>
      </w:r>
      <w:proofErr w:type="spellEnd"/>
      <w:r w:rsidR="00207BD6">
        <w:rPr>
          <w:rFonts w:asciiTheme="minorHAnsi" w:hAnsiTheme="minorHAnsi" w:cstheme="minorHAnsi"/>
        </w:rPr>
        <w:t xml:space="preserve"> </w:t>
      </w:r>
      <w:proofErr w:type="spellStart"/>
      <w:r w:rsidR="00207BD6">
        <w:rPr>
          <w:rFonts w:asciiTheme="minorHAnsi" w:hAnsiTheme="minorHAnsi" w:cstheme="minorHAnsi"/>
        </w:rPr>
        <w:t>ardından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r w:rsidR="00207BD6">
        <w:rPr>
          <w:rFonts w:asciiTheme="minorHAnsi" w:hAnsiTheme="minorHAnsi" w:cstheme="minorHAnsi"/>
        </w:rPr>
        <w:t xml:space="preserve">Renault Grubu, </w:t>
      </w:r>
      <w:r w:rsidRPr="00566C27">
        <w:rPr>
          <w:rFonts w:asciiTheme="minorHAnsi" w:hAnsiTheme="minorHAnsi" w:cstheme="minorHAnsi"/>
        </w:rPr>
        <w:t xml:space="preserve">1 Ocak 2018 </w:t>
      </w:r>
      <w:proofErr w:type="spellStart"/>
      <w:r w:rsidRPr="00566C27">
        <w:rPr>
          <w:rFonts w:asciiTheme="minorHAnsi" w:hAnsiTheme="minorHAnsi" w:cstheme="minorHAnsi"/>
        </w:rPr>
        <w:t>tarihinden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itibaren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geçerli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olmak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üzere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color w:val="000000" w:themeColor="text1"/>
        </w:rPr>
        <w:t>Asya-Pasifik</w:t>
      </w:r>
      <w:proofErr w:type="spellEnd"/>
      <w:r w:rsidR="006B7E62" w:rsidRPr="00566C2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bölgesi</w:t>
      </w:r>
      <w:proofErr w:type="spellEnd"/>
      <w:r w:rsidRPr="00566C27">
        <w:rPr>
          <w:rFonts w:asciiTheme="minorHAnsi" w:hAnsiTheme="minorHAnsi" w:cstheme="minorHAnsi"/>
        </w:rPr>
        <w:t xml:space="preserve"> Jinbei </w:t>
      </w:r>
      <w:proofErr w:type="spellStart"/>
      <w:r w:rsidRPr="00566C27">
        <w:rPr>
          <w:rFonts w:asciiTheme="minorHAnsi" w:hAnsiTheme="minorHAnsi" w:cstheme="minorHAnsi"/>
        </w:rPr>
        <w:t>ve</w:t>
      </w:r>
      <w:proofErr w:type="spellEnd"/>
      <w:r w:rsidRPr="00566C27">
        <w:rPr>
          <w:rFonts w:asciiTheme="minorHAnsi" w:hAnsiTheme="minorHAnsi" w:cstheme="minorHAnsi"/>
        </w:rPr>
        <w:t xml:space="preserve"> Huasong </w:t>
      </w:r>
      <w:proofErr w:type="spellStart"/>
      <w:r w:rsidRPr="00566C27">
        <w:rPr>
          <w:rFonts w:asciiTheme="minorHAnsi" w:hAnsiTheme="minorHAnsi" w:cstheme="minorHAnsi"/>
        </w:rPr>
        <w:t>markalarının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satış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rakamlarını</w:t>
      </w:r>
      <w:proofErr w:type="spellEnd"/>
      <w:r w:rsidR="006B7E62" w:rsidRPr="00566C27">
        <w:rPr>
          <w:rFonts w:asciiTheme="minorHAnsi" w:hAnsiTheme="minorHAnsi" w:cstheme="minorHAnsi"/>
        </w:rPr>
        <w:t xml:space="preserve"> da</w:t>
      </w:r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bünyesin</w:t>
      </w:r>
      <w:r w:rsidR="006B7E62" w:rsidRPr="00566C27">
        <w:rPr>
          <w:rFonts w:asciiTheme="minorHAnsi" w:hAnsiTheme="minorHAnsi" w:cstheme="minorHAnsi"/>
        </w:rPr>
        <w:t>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dahil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etti</w:t>
      </w:r>
      <w:proofErr w:type="spellEnd"/>
      <w:r w:rsidR="006B7E62" w:rsidRPr="00566C27">
        <w:rPr>
          <w:rFonts w:asciiTheme="minorHAnsi" w:hAnsiTheme="minorHAnsi" w:cstheme="minorHAnsi"/>
        </w:rPr>
        <w:t xml:space="preserve">. </w:t>
      </w:r>
      <w:proofErr w:type="spellStart"/>
      <w:r w:rsidR="006B7E62" w:rsidRPr="00566C27">
        <w:rPr>
          <w:rFonts w:asciiTheme="minorHAnsi" w:hAnsiTheme="minorHAnsi" w:cstheme="minorHAnsi"/>
        </w:rPr>
        <w:t>Satışlar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bölgede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>69,5</w:t>
      </w:r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artış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gösterdi</w:t>
      </w:r>
      <w:proofErr w:type="spellEnd"/>
      <w:r w:rsidR="006B7E62" w:rsidRPr="00566C27">
        <w:rPr>
          <w:rFonts w:asciiTheme="minorHAnsi" w:hAnsiTheme="minorHAnsi" w:cstheme="minorHAnsi"/>
        </w:rPr>
        <w:t xml:space="preserve">. 2017 </w:t>
      </w:r>
      <w:proofErr w:type="spellStart"/>
      <w:r w:rsidR="006B7E62" w:rsidRPr="00566C27">
        <w:rPr>
          <w:rFonts w:asciiTheme="minorHAnsi" w:hAnsiTheme="minorHAnsi" w:cstheme="minorHAnsi"/>
        </w:rPr>
        <w:t>yılında</w:t>
      </w:r>
      <w:proofErr w:type="spellEnd"/>
      <w:r w:rsidR="006B7E62" w:rsidRPr="00566C27">
        <w:rPr>
          <w:rFonts w:asciiTheme="minorHAnsi" w:hAnsiTheme="minorHAnsi" w:cstheme="minorHAnsi"/>
        </w:rPr>
        <w:t xml:space="preserve">,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 xml:space="preserve">4,3 </w:t>
      </w:r>
      <w:proofErr w:type="spellStart"/>
      <w:r w:rsidRPr="00566C27">
        <w:rPr>
          <w:rFonts w:asciiTheme="minorHAnsi" w:hAnsiTheme="minorHAnsi" w:cstheme="minorHAnsi"/>
        </w:rPr>
        <w:t>büyüme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g</w:t>
      </w:r>
      <w:r w:rsidR="006B7E62" w:rsidRPr="00566C27">
        <w:rPr>
          <w:rFonts w:asciiTheme="minorHAnsi" w:hAnsiTheme="minorHAnsi" w:cstheme="minorHAnsi"/>
        </w:rPr>
        <w:t>österen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pazarda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grup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satışları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 xml:space="preserve">14,8 </w:t>
      </w:r>
      <w:proofErr w:type="spellStart"/>
      <w:r w:rsidRPr="00566C27">
        <w:rPr>
          <w:rFonts w:asciiTheme="minorHAnsi" w:hAnsiTheme="minorHAnsi" w:cstheme="minorHAnsi"/>
        </w:rPr>
        <w:t>azaldı</w:t>
      </w:r>
      <w:proofErr w:type="spellEnd"/>
      <w:r w:rsidRPr="00566C27">
        <w:rPr>
          <w:rFonts w:asciiTheme="minorHAnsi" w:hAnsiTheme="minorHAnsi" w:cstheme="minorHAnsi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</w:rPr>
      </w:pP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Çin’de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yaklaşık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33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bin’i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Renault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markası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olmak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üzere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117 bin </w:t>
      </w:r>
      <w:r w:rsidR="00207BD6">
        <w:rPr>
          <w:rFonts w:asciiTheme="minorHAnsi" w:hAnsiTheme="minorHAnsi" w:cstheme="minorHAnsi"/>
          <w:color w:val="000000" w:themeColor="text1"/>
        </w:rPr>
        <w:t>646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kaydetti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 Son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derec</w:t>
      </w:r>
      <w:r w:rsidR="006B7E62" w:rsidRPr="00566C27">
        <w:rPr>
          <w:rFonts w:asciiTheme="minorHAnsi" w:hAnsiTheme="minorHAnsi" w:cstheme="minorHAnsi"/>
          <w:color w:val="000000" w:themeColor="text1"/>
        </w:rPr>
        <w:t>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rekabetçi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pazarda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yeni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model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eksikliğinin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hAnsiTheme="minorHAnsi" w:cstheme="minorHAnsi"/>
          <w:color w:val="000000" w:themeColor="text1"/>
        </w:rPr>
        <w:t>dezavantajı</w:t>
      </w:r>
      <w:proofErr w:type="spellEnd"/>
      <w:r w:rsidR="00207BD6">
        <w:rPr>
          <w:rFonts w:asciiTheme="minorHAnsi" w:hAnsiTheme="minorHAnsi" w:cstheme="minorHAnsi"/>
          <w:color w:val="000000" w:themeColor="text1"/>
        </w:rPr>
        <w:t xml:space="preserve"> ile</w:t>
      </w:r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Güney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Kore’de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Renault Samsung Motors</w:t>
      </w:r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26,9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düşüş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lastRenderedPageBreak/>
        <w:t>Avrasya’da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9,4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</w:t>
      </w:r>
      <w:r w:rsidR="006B7E62" w:rsidRPr="00566C27">
        <w:rPr>
          <w:rFonts w:asciiTheme="minorHAnsi" w:hAnsiTheme="minorHAnsi" w:cstheme="minorHAnsi"/>
          <w:color w:val="000000" w:themeColor="text1"/>
        </w:rPr>
        <w:t>üyüyen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pazarda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satışlar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15,1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arttı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esas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Rusya’daki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güçlü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dinamizmi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arkasına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alarak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</w:t>
      </w:r>
      <w:r w:rsidR="006B7E62" w:rsidRPr="00566C27">
        <w:rPr>
          <w:rFonts w:asciiTheme="minorHAnsi" w:hAnsiTheme="minorHAnsi" w:cstheme="minorHAnsi"/>
          <w:color w:val="000000" w:themeColor="text1"/>
        </w:rPr>
        <w:t>zar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payını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1,3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artırdı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25,8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sahip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oldu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98189A" w:rsidRPr="00566C27" w:rsidRDefault="0098189A" w:rsidP="0098189A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eastAsia="Arial" w:hAnsiTheme="minorHAnsi" w:cstheme="minorHAnsi"/>
          <w:b/>
          <w:color w:val="000000" w:themeColor="text1"/>
        </w:rPr>
        <w:t>Türkiye’de</w:t>
      </w:r>
      <w:proofErr w:type="spellEnd"/>
      <w:r w:rsidRPr="00566C27">
        <w:rPr>
          <w:rFonts w:asciiTheme="minorHAnsi" w:eastAsia="Arial" w:hAnsiTheme="minorHAnsi" w:cstheme="minorHAnsi"/>
          <w:color w:val="000000" w:themeColor="text1"/>
        </w:rPr>
        <w:t xml:space="preserve">, 2018 </w:t>
      </w:r>
      <w:proofErr w:type="spellStart"/>
      <w:r w:rsidRPr="00566C27">
        <w:rPr>
          <w:rFonts w:asciiTheme="minorHAnsi" w:eastAsia="Arial" w:hAnsiTheme="minorHAnsi" w:cstheme="minorHAnsi"/>
          <w:color w:val="000000" w:themeColor="text1"/>
        </w:rPr>
        <w:t>yılının</w:t>
      </w:r>
      <w:proofErr w:type="spellEnd"/>
      <w:r w:rsidRPr="00566C27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eastAsia="Arial" w:hAnsiTheme="minorHAnsi" w:cstheme="minorHAnsi"/>
          <w:color w:val="000000" w:themeColor="text1"/>
        </w:rPr>
        <w:t>ilk</w:t>
      </w:r>
      <w:proofErr w:type="spellEnd"/>
      <w:r w:rsidRPr="00566C27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eastAsia="Arial" w:hAnsiTheme="minorHAnsi" w:cstheme="minorHAnsi"/>
          <w:color w:val="000000" w:themeColor="text1"/>
        </w:rPr>
        <w:t>yarısında</w:t>
      </w:r>
      <w:proofErr w:type="spellEnd"/>
      <w:r w:rsidRPr="00566C27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423844">
        <w:rPr>
          <w:rFonts w:asciiTheme="minorHAnsi" w:eastAsia="Arial" w:hAnsiTheme="minorHAnsi" w:cstheme="minorHAnsi"/>
          <w:color w:val="000000" w:themeColor="text1"/>
        </w:rPr>
        <w:t xml:space="preserve">11,9 </w:t>
      </w:r>
      <w:proofErr w:type="spellStart"/>
      <w:r w:rsidR="00423844">
        <w:rPr>
          <w:rFonts w:asciiTheme="minorHAnsi" w:eastAsia="Arial" w:hAnsiTheme="minorHAnsi" w:cstheme="minorHAnsi"/>
          <w:color w:val="000000" w:themeColor="text1"/>
        </w:rPr>
        <w:t>daralan</w:t>
      </w:r>
      <w:proofErr w:type="spellEnd"/>
      <w:r w:rsid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>
        <w:rPr>
          <w:rFonts w:asciiTheme="minorHAnsi" w:eastAsia="Arial" w:hAnsiTheme="minorHAnsi" w:cstheme="minorHAnsi"/>
          <w:color w:val="000000" w:themeColor="text1"/>
        </w:rPr>
        <w:t>pazarda</w:t>
      </w:r>
      <w:proofErr w:type="spellEnd"/>
      <w:r w:rsidR="00423844">
        <w:rPr>
          <w:rFonts w:asciiTheme="minorHAnsi" w:eastAsia="Arial" w:hAnsiTheme="minorHAnsi" w:cstheme="minorHAnsi"/>
          <w:color w:val="000000" w:themeColor="text1"/>
        </w:rPr>
        <w:t xml:space="preserve"> Renault, </w:t>
      </w:r>
      <w:proofErr w:type="spellStart"/>
      <w:r w:rsidR="00423844">
        <w:rPr>
          <w:rFonts w:asciiTheme="minorHAnsi" w:eastAsia="Arial" w:hAnsiTheme="minorHAnsi" w:cstheme="minorHAnsi"/>
          <w:color w:val="000000" w:themeColor="text1"/>
        </w:rPr>
        <w:t>pazar</w:t>
      </w:r>
      <w:proofErr w:type="spellEnd"/>
      <w:r w:rsid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>
        <w:rPr>
          <w:rFonts w:asciiTheme="minorHAnsi" w:eastAsia="Arial" w:hAnsiTheme="minorHAnsi" w:cstheme="minorHAnsi"/>
          <w:color w:val="000000" w:themeColor="text1"/>
        </w:rPr>
        <w:t>payını</w:t>
      </w:r>
      <w:proofErr w:type="spellEnd"/>
      <w:r w:rsidR="00423844">
        <w:rPr>
          <w:rFonts w:asciiTheme="minorHAnsi" w:eastAsia="Arial" w:hAnsiTheme="minorHAnsi" w:cstheme="minorHAnsi"/>
          <w:color w:val="000000" w:themeColor="text1"/>
        </w:rPr>
        <w:t xml:space="preserve"> 1 </w:t>
      </w:r>
      <w:proofErr w:type="spellStart"/>
      <w:r w:rsidR="00423844">
        <w:rPr>
          <w:rFonts w:asciiTheme="minorHAnsi" w:eastAsia="Arial" w:hAnsiTheme="minorHAnsi" w:cstheme="minorHAnsi"/>
          <w:color w:val="000000" w:themeColor="text1"/>
        </w:rPr>
        <w:t>puan</w:t>
      </w:r>
      <w:proofErr w:type="spellEnd"/>
      <w:r w:rsid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arttırarak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pazar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liderliğini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sürdürüyor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>.</w:t>
      </w:r>
      <w:r w:rsidRPr="00423844">
        <w:rPr>
          <w:rFonts w:asciiTheme="minorHAnsi" w:hAnsiTheme="minorHAnsi" w:cstheme="minorHAnsi"/>
        </w:rPr>
        <w:t xml:space="preserve"> </w:t>
      </w:r>
      <w:r w:rsidRPr="00423844">
        <w:rPr>
          <w:rFonts w:asciiTheme="minorHAnsi" w:eastAsia="Arial" w:hAnsiTheme="minorHAnsi" w:cstheme="minorHAnsi"/>
          <w:color w:val="000000" w:themeColor="text1"/>
        </w:rPr>
        <w:t xml:space="preserve">Megane Sedan 18 bin 406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adet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satış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rakamı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ile Türkiye’ni</w:t>
      </w:r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n en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çok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satılan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otomobili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iken</w:t>
      </w:r>
      <w:proofErr w:type="spellEnd"/>
      <w:r w:rsidRPr="00423844">
        <w:rPr>
          <w:rFonts w:asciiTheme="minorHAnsi" w:hAnsiTheme="minorHAnsi" w:cstheme="minorHAnsi"/>
        </w:rPr>
        <w:t xml:space="preserve"> </w:t>
      </w:r>
      <w:r w:rsidRPr="00423844">
        <w:rPr>
          <w:rFonts w:asciiTheme="minorHAnsi" w:eastAsia="Arial" w:hAnsiTheme="minorHAnsi" w:cstheme="minorHAnsi"/>
          <w:color w:val="000000" w:themeColor="text1"/>
        </w:rPr>
        <w:t xml:space="preserve">Clio HB, 2018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yılı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ilk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6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ayında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14 bin 856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adet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satış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423844">
        <w:rPr>
          <w:rFonts w:asciiTheme="minorHAnsi" w:eastAsia="Arial" w:hAnsiTheme="minorHAnsi" w:cstheme="minorHAnsi"/>
          <w:color w:val="000000" w:themeColor="text1"/>
        </w:rPr>
        <w:t>gerçekleştirerek</w:t>
      </w:r>
      <w:proofErr w:type="spellEnd"/>
      <w:r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207BD6">
        <w:rPr>
          <w:rFonts w:asciiTheme="minorHAnsi" w:eastAsia="Arial" w:hAnsiTheme="minorHAnsi" w:cstheme="minorHAnsi"/>
          <w:color w:val="000000" w:themeColor="text1"/>
        </w:rPr>
        <w:t>ülkenin</w:t>
      </w:r>
      <w:proofErr w:type="spellEnd"/>
      <w:r w:rsidR="00207BD6">
        <w:rPr>
          <w:rFonts w:asciiTheme="minorHAnsi" w:eastAsia="Arial" w:hAnsiTheme="minorHAnsi" w:cstheme="minorHAnsi"/>
          <w:color w:val="000000" w:themeColor="text1"/>
        </w:rPr>
        <w:t xml:space="preserve"> model </w:t>
      </w:r>
      <w:proofErr w:type="spellStart"/>
      <w:r w:rsidR="00207BD6">
        <w:rPr>
          <w:rFonts w:asciiTheme="minorHAnsi" w:eastAsia="Arial" w:hAnsiTheme="minorHAnsi" w:cstheme="minorHAnsi"/>
          <w:color w:val="000000" w:themeColor="text1"/>
        </w:rPr>
        <w:t>sıralamasında</w:t>
      </w:r>
      <w:proofErr w:type="spellEnd"/>
      <w:r w:rsidR="00207BD6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3. </w:t>
      </w:r>
      <w:proofErr w:type="spellStart"/>
      <w:proofErr w:type="gramStart"/>
      <w:r w:rsidR="00207BD6">
        <w:rPr>
          <w:rFonts w:asciiTheme="minorHAnsi" w:eastAsia="Arial" w:hAnsiTheme="minorHAnsi" w:cstheme="minorHAnsi"/>
          <w:color w:val="000000" w:themeColor="text1"/>
        </w:rPr>
        <w:t>s</w:t>
      </w:r>
      <w:r w:rsidR="00423844" w:rsidRPr="00423844">
        <w:rPr>
          <w:rFonts w:asciiTheme="minorHAnsi" w:eastAsia="Arial" w:hAnsiTheme="minorHAnsi" w:cstheme="minorHAnsi"/>
          <w:color w:val="000000" w:themeColor="text1"/>
        </w:rPr>
        <w:t>ırada</w:t>
      </w:r>
      <w:proofErr w:type="spellEnd"/>
      <w:proofErr w:type="gram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yer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="00423844" w:rsidRPr="00423844">
        <w:rPr>
          <w:rFonts w:asciiTheme="minorHAnsi" w:eastAsia="Arial" w:hAnsiTheme="minorHAnsi" w:cstheme="minorHAnsi"/>
          <w:color w:val="000000" w:themeColor="text1"/>
        </w:rPr>
        <w:t>aldı</w:t>
      </w:r>
      <w:proofErr w:type="spellEnd"/>
      <w:r w:rsidR="00423844" w:rsidRPr="00423844">
        <w:rPr>
          <w:rFonts w:asciiTheme="minorHAnsi" w:eastAsia="Arial" w:hAnsiTheme="minorHAnsi" w:cstheme="minorHAnsi"/>
          <w:color w:val="000000" w:themeColor="text1"/>
        </w:rPr>
        <w:t xml:space="preserve">. </w:t>
      </w:r>
      <w:r w:rsidRPr="00566C27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b/>
          <w:bCs/>
          <w:color w:val="000000" w:themeColor="text1"/>
        </w:rPr>
        <w:t>Rusya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yılın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ilk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yarısında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18,2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büyüdü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Rusya</w:t>
      </w:r>
      <w:proofErr w:type="spellEnd"/>
      <w:r w:rsidR="008E425A">
        <w:rPr>
          <w:rFonts w:asciiTheme="minorHAnsi" w:hAnsiTheme="minorHAnsi" w:cstheme="minorHAnsi"/>
          <w:color w:val="000000" w:themeColor="text1"/>
        </w:rPr>
        <w:t>,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6B7E62" w:rsidRPr="00566C27">
        <w:rPr>
          <w:rFonts w:asciiTheme="minorHAnsi" w:hAnsiTheme="minorHAnsi" w:cstheme="minorHAnsi"/>
          <w:color w:val="000000" w:themeColor="text1"/>
        </w:rPr>
        <w:t xml:space="preserve">Renault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Grubu’nun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i</w:t>
      </w:r>
      <w:r w:rsidRPr="00566C27">
        <w:rPr>
          <w:rFonts w:asciiTheme="minorHAnsi" w:hAnsiTheme="minorHAnsi" w:cstheme="minorHAnsi"/>
          <w:color w:val="000000" w:themeColor="text1"/>
        </w:rPr>
        <w:t>ki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numaralı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olmaya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devam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ediyor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. </w:t>
      </w:r>
      <w:r w:rsidR="008E425A">
        <w:rPr>
          <w:rFonts w:asciiTheme="minorHAnsi" w:hAnsiTheme="minorHAnsi" w:cstheme="minorHAnsi"/>
          <w:color w:val="000000" w:themeColor="text1"/>
        </w:rPr>
        <w:t>Renault Grubu</w:t>
      </w:r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satışlarını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19,7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artırarak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,</w:t>
      </w:r>
      <w:r w:rsidR="006B7E62" w:rsidRPr="00566C27">
        <w:rPr>
          <w:rFonts w:asciiTheme="minorHAnsi" w:hAnsiTheme="minorHAnsi" w:cstheme="minorHAnsi"/>
          <w:color w:val="000000" w:themeColor="text1"/>
        </w:rPr>
        <w:t xml:space="preserve"> en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çok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satan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15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binek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otomobil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sıralamasına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sekiz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modeli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ile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girmeyi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başardı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Rusya’da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2017’de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satılan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araçların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dörtte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birinden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fazlası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Renault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veya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LADA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oldu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b/>
          <w:color w:val="000000" w:themeColor="text1"/>
        </w:rPr>
        <w:t>LADA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yeni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LADA Vesta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LADA XRAY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modell</w:t>
      </w:r>
      <w:r w:rsidR="006B7E62" w:rsidRPr="00566C27">
        <w:rPr>
          <w:rFonts w:asciiTheme="minorHAnsi" w:hAnsiTheme="minorHAnsi" w:cstheme="minorHAnsi"/>
          <w:color w:val="000000" w:themeColor="text1"/>
        </w:rPr>
        <w:t>erinin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başarısı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sayesinde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20</w:t>
      </w:r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ile (0,5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satışlarını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21,1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artırdı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b/>
          <w:bCs/>
          <w:color w:val="000000" w:themeColor="text1"/>
        </w:rPr>
        <w:t>Renault</w:t>
      </w:r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markasının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rakamları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11,6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artış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Bunda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2019’da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gerçekleşecek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yeni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C-segmenti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crossover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lansmanının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öncesinde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Duster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Kaptur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modellerin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başarısı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en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önemli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paya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sahipti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Afrika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Orta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Doğu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ve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Hindistan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bölgesinde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10,1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artarken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Grup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4,5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azaldı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937189" w:rsidRPr="00566C27" w:rsidRDefault="006B7E62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FF0000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Pazar </w:t>
      </w:r>
      <w:proofErr w:type="spellStart"/>
      <w:proofErr w:type="gramStart"/>
      <w:r w:rsidRPr="00566C27">
        <w:rPr>
          <w:rFonts w:asciiTheme="minorHAnsi" w:hAnsiTheme="minorHAnsi" w:cstheme="minorHAnsi"/>
          <w:color w:val="000000" w:themeColor="text1"/>
        </w:rPr>
        <w:t>payının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proofErr w:type="gram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="00937189" w:rsidRPr="00566C27">
        <w:rPr>
          <w:rFonts w:asciiTheme="minorHAnsi" w:hAnsiTheme="minorHAnsi" w:cstheme="minorHAnsi"/>
          <w:color w:val="000000" w:themeColor="text1"/>
        </w:rPr>
        <w:t xml:space="preserve">8,1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olduğu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(2,3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düşüş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="00937189" w:rsidRPr="00566C27">
        <w:rPr>
          <w:rFonts w:asciiTheme="minorHAnsi" w:hAnsiTheme="minorHAnsi" w:cstheme="minorHAnsi"/>
          <w:b/>
          <w:bCs/>
          <w:color w:val="000000" w:themeColor="text1"/>
        </w:rPr>
        <w:t>İran’daki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satışlar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10,3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düşüş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="00937189" w:rsidRPr="00566C27">
        <w:rPr>
          <w:rFonts w:asciiTheme="minorHAnsi" w:hAnsiTheme="minorHAnsi" w:cstheme="minorHAnsi"/>
          <w:color w:val="000000" w:themeColor="text1"/>
        </w:rPr>
        <w:t xml:space="preserve">. 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r w:rsidRPr="00566C27">
        <w:rPr>
          <w:rFonts w:asciiTheme="minorHAnsi" w:hAnsiTheme="minorHAnsi" w:cstheme="minorHAnsi"/>
          <w:color w:val="000000" w:themeColor="text1"/>
        </w:rPr>
        <w:t xml:space="preserve">Son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derece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rekabetçi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bCs/>
          <w:color w:val="000000" w:themeColor="text1"/>
        </w:rPr>
        <w:t>Hindistan’da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Renault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numaralı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Avrupalı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otomobil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markası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olmaya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devam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etse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de,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pazarda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25,4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gerileme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gösterdi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bookmarkEnd w:id="2"/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Kuzey</w:t>
      </w:r>
      <w:proofErr w:type="spellEnd"/>
      <w:r w:rsidRPr="00566C27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  <w:color w:val="000000" w:themeColor="text1"/>
        </w:rPr>
        <w:t>Afrika’da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E36E8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AE36E8">
        <w:rPr>
          <w:rFonts w:asciiTheme="minorHAnsi" w:hAnsiTheme="minorHAnsi" w:cstheme="minorHAnsi"/>
          <w:color w:val="000000" w:themeColor="text1"/>
        </w:rPr>
        <w:t xml:space="preserve"> 7,0 </w:t>
      </w:r>
      <w:proofErr w:type="spellStart"/>
      <w:r w:rsidR="00AE36E8">
        <w:rPr>
          <w:rFonts w:asciiTheme="minorHAnsi" w:hAnsiTheme="minorHAnsi" w:cstheme="minorHAnsi"/>
          <w:color w:val="000000" w:themeColor="text1"/>
        </w:rPr>
        <w:t>artarken</w:t>
      </w:r>
      <w:proofErr w:type="spellEnd"/>
      <w:r w:rsidR="00AE36E8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AE36E8">
        <w:rPr>
          <w:rFonts w:asciiTheme="minorHAnsi" w:hAnsiTheme="minorHAnsi" w:cstheme="minorHAnsi"/>
          <w:color w:val="000000" w:themeColor="text1"/>
        </w:rPr>
        <w:t>G</w:t>
      </w:r>
      <w:r w:rsidR="006B7E62" w:rsidRPr="00566C27">
        <w:rPr>
          <w:rFonts w:asciiTheme="minorHAnsi" w:hAnsiTheme="minorHAnsi" w:cstheme="minorHAnsi"/>
          <w:color w:val="000000" w:themeColor="text1"/>
        </w:rPr>
        <w:t>rup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satışları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12,4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yükseldi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Gr</w:t>
      </w:r>
      <w:r w:rsidR="006B7E62" w:rsidRPr="00566C27">
        <w:rPr>
          <w:rFonts w:asciiTheme="minorHAnsi" w:hAnsiTheme="minorHAnsi" w:cstheme="minorHAnsi"/>
          <w:color w:val="000000" w:themeColor="text1"/>
        </w:rPr>
        <w:t>up</w:t>
      </w:r>
      <w:r w:rsidR="00AE36E8">
        <w:rPr>
          <w:rFonts w:asciiTheme="minorHAnsi" w:hAnsiTheme="minorHAnsi" w:cstheme="minorHAnsi"/>
          <w:color w:val="000000" w:themeColor="text1"/>
        </w:rPr>
        <w:t>’un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pazar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payı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2,1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puan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artarak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  <w:color w:val="000000" w:themeColor="text1"/>
        </w:rPr>
        <w:t>yüzde</w:t>
      </w:r>
      <w:proofErr w:type="spellEnd"/>
      <w:r w:rsidR="006B7E62" w:rsidRPr="00566C27">
        <w:rPr>
          <w:rFonts w:asciiTheme="minorHAnsi" w:hAnsiTheme="minorHAnsi" w:cstheme="minorHAnsi"/>
          <w:color w:val="000000" w:themeColor="text1"/>
        </w:rPr>
        <w:t xml:space="preserve"> </w:t>
      </w:r>
      <w:r w:rsidRPr="00566C27">
        <w:rPr>
          <w:rFonts w:asciiTheme="minorHAnsi" w:hAnsiTheme="minorHAnsi" w:cstheme="minorHAnsi"/>
          <w:color w:val="000000" w:themeColor="text1"/>
        </w:rPr>
        <w:t xml:space="preserve">44,8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seviyesine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66C27">
        <w:rPr>
          <w:rFonts w:asciiTheme="minorHAnsi" w:hAnsiTheme="minorHAnsi" w:cstheme="minorHAnsi"/>
          <w:color w:val="000000" w:themeColor="text1"/>
        </w:rPr>
        <w:t>ulaştı</w:t>
      </w:r>
      <w:proofErr w:type="spellEnd"/>
      <w:r w:rsidRPr="00566C27">
        <w:rPr>
          <w:rFonts w:asciiTheme="minorHAnsi" w:hAnsiTheme="minorHAnsi" w:cstheme="minorHAnsi"/>
          <w:color w:val="000000" w:themeColor="text1"/>
        </w:rPr>
        <w:t>.</w:t>
      </w:r>
    </w:p>
    <w:p w:rsidR="00937189" w:rsidRPr="00566C27" w:rsidRDefault="00937189" w:rsidP="00937189">
      <w:pPr>
        <w:spacing w:line="250" w:lineRule="auto"/>
        <w:ind w:left="1332" w:right="652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eastAsia="Arial" w:hAnsiTheme="minorHAnsi" w:cstheme="minorHAnsi"/>
        </w:rPr>
      </w:pPr>
    </w:p>
    <w:p w:rsidR="00937189" w:rsidRPr="00566C27" w:rsidRDefault="006B7E62" w:rsidP="00937189">
      <w:pPr>
        <w:spacing w:line="250" w:lineRule="auto"/>
        <w:ind w:left="1349" w:right="652"/>
        <w:jc w:val="both"/>
        <w:rPr>
          <w:rFonts w:asciiTheme="minorHAnsi" w:eastAsia="Arial" w:hAnsiTheme="minorHAnsi" w:cstheme="minorHAnsi"/>
          <w:b/>
          <w:sz w:val="28"/>
        </w:rPr>
      </w:pPr>
      <w:r w:rsidRPr="00566C27">
        <w:rPr>
          <w:rFonts w:asciiTheme="minorHAnsi" w:hAnsiTheme="minorHAnsi" w:cstheme="minorHAnsi"/>
          <w:b/>
          <w:sz w:val="28"/>
        </w:rPr>
        <w:t xml:space="preserve">RENAULT GRUBU’NUN 2018 PAZAR ÖNGÖRÜSÜ </w:t>
      </w: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eastAsia="Arial" w:hAnsiTheme="minorHAnsi" w:cstheme="minorHAnsi"/>
        </w:rPr>
      </w:pPr>
    </w:p>
    <w:p w:rsidR="00937189" w:rsidRPr="00566C27" w:rsidRDefault="006B7E62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  <w:r w:rsidRPr="00566C27">
        <w:rPr>
          <w:rFonts w:asciiTheme="minorHAnsi" w:hAnsiTheme="minorHAnsi" w:cstheme="minorHAnsi"/>
        </w:rPr>
        <w:t>Renault Grubu</w:t>
      </w:r>
      <w:r w:rsidR="00937189" w:rsidRPr="00566C27">
        <w:rPr>
          <w:rFonts w:asciiTheme="minorHAnsi" w:hAnsiTheme="minorHAnsi" w:cstheme="minorHAnsi"/>
        </w:rPr>
        <w:t xml:space="preserve"> 2018 </w:t>
      </w:r>
      <w:proofErr w:type="spellStart"/>
      <w:r w:rsidR="00937189" w:rsidRPr="00566C27">
        <w:rPr>
          <w:rFonts w:asciiTheme="minorHAnsi" w:hAnsiTheme="minorHAnsi" w:cstheme="minorHAnsi"/>
        </w:rPr>
        <w:t>yılı</w:t>
      </w:r>
      <w:proofErr w:type="spellEnd"/>
      <w:r w:rsidR="00937189" w:rsidRPr="00566C27">
        <w:rPr>
          <w:rFonts w:asciiTheme="minorHAnsi" w:hAnsiTheme="minorHAnsi" w:cstheme="minorHAnsi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</w:rPr>
        <w:t>için</w:t>
      </w:r>
      <w:proofErr w:type="spellEnd"/>
      <w:r w:rsidR="00937189" w:rsidRPr="00566C27">
        <w:rPr>
          <w:rFonts w:asciiTheme="minorHAnsi" w:hAnsiTheme="minorHAnsi" w:cstheme="minorHAnsi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</w:rPr>
        <w:t>öngörülerini</w:t>
      </w:r>
      <w:proofErr w:type="spellEnd"/>
      <w:r w:rsidR="00937189" w:rsidRPr="00566C27">
        <w:rPr>
          <w:rFonts w:asciiTheme="minorHAnsi" w:hAnsiTheme="minorHAnsi" w:cstheme="minorHAnsi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</w:rPr>
        <w:t>revize</w:t>
      </w:r>
      <w:proofErr w:type="spellEnd"/>
      <w:r w:rsidR="00937189" w:rsidRPr="00566C27">
        <w:rPr>
          <w:rFonts w:asciiTheme="minorHAnsi" w:hAnsiTheme="minorHAnsi" w:cstheme="minorHAnsi"/>
        </w:rPr>
        <w:t xml:space="preserve"> </w:t>
      </w:r>
      <w:proofErr w:type="spellStart"/>
      <w:r w:rsidR="00937189" w:rsidRPr="00566C27">
        <w:rPr>
          <w:rFonts w:asciiTheme="minorHAnsi" w:hAnsiTheme="minorHAnsi" w:cstheme="minorHAnsi"/>
        </w:rPr>
        <w:t>etti</w:t>
      </w:r>
      <w:proofErr w:type="spellEnd"/>
      <w:r w:rsidR="00937189" w:rsidRPr="00566C27">
        <w:rPr>
          <w:rFonts w:asciiTheme="minorHAnsi" w:hAnsiTheme="minorHAnsi" w:cstheme="minorHAnsi"/>
        </w:rPr>
        <w:t>.</w:t>
      </w: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  <w:proofErr w:type="spellStart"/>
      <w:r w:rsidRPr="00566C27">
        <w:rPr>
          <w:rFonts w:asciiTheme="minorHAnsi" w:hAnsiTheme="minorHAnsi" w:cstheme="minorHAnsi"/>
        </w:rPr>
        <w:t>K</w:t>
      </w:r>
      <w:r w:rsidR="006B7E62" w:rsidRPr="00566C27">
        <w:rPr>
          <w:rFonts w:asciiTheme="minorHAnsi" w:hAnsiTheme="minorHAnsi" w:cstheme="minorHAnsi"/>
        </w:rPr>
        <w:t>üresel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pazarın</w:t>
      </w:r>
      <w:proofErr w:type="spellEnd"/>
      <w:r w:rsidR="006B7E62" w:rsidRPr="00566C27">
        <w:rPr>
          <w:rFonts w:asciiTheme="minorHAnsi" w:hAnsiTheme="minorHAnsi" w:cstheme="minorHAnsi"/>
        </w:rPr>
        <w:t xml:space="preserve"> 2017’ye </w:t>
      </w:r>
      <w:proofErr w:type="spellStart"/>
      <w:r w:rsidR="006B7E62" w:rsidRPr="00566C27">
        <w:rPr>
          <w:rFonts w:asciiTheme="minorHAnsi" w:hAnsiTheme="minorHAnsi" w:cstheme="minorHAnsi"/>
        </w:rPr>
        <w:t>kıyasla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>3</w:t>
      </w:r>
      <w:r w:rsidR="006B7E62" w:rsidRPr="00566C27">
        <w:rPr>
          <w:rFonts w:asciiTheme="minorHAnsi" w:hAnsiTheme="minorHAnsi" w:cstheme="minorHAnsi"/>
        </w:rPr>
        <w:t xml:space="preserve"> (</w:t>
      </w:r>
      <w:proofErr w:type="spellStart"/>
      <w:r w:rsidR="006B7E62" w:rsidRPr="00566C27">
        <w:rPr>
          <w:rFonts w:asciiTheme="minorHAnsi" w:hAnsiTheme="minorHAnsi" w:cstheme="minorHAnsi"/>
        </w:rPr>
        <w:t>önceki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rakam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r w:rsidR="008942B5" w:rsidRPr="00566C27">
        <w:rPr>
          <w:rFonts w:asciiTheme="minorHAnsi" w:hAnsiTheme="minorHAnsi" w:cstheme="minorHAnsi"/>
        </w:rPr>
        <w:t xml:space="preserve">2,5), </w:t>
      </w:r>
      <w:proofErr w:type="spellStart"/>
      <w:r w:rsidR="006B7E62" w:rsidRPr="00566C27">
        <w:rPr>
          <w:rFonts w:asciiTheme="minorHAnsi" w:hAnsiTheme="minorHAnsi" w:cstheme="minorHAnsi"/>
        </w:rPr>
        <w:t>Avrupa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pazarını</w:t>
      </w:r>
      <w:r w:rsidR="00AE36E8">
        <w:rPr>
          <w:rFonts w:asciiTheme="minorHAnsi" w:hAnsiTheme="minorHAnsi" w:cstheme="minorHAnsi"/>
        </w:rPr>
        <w:t>n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1,5 (</w:t>
      </w:r>
      <w:proofErr w:type="spellStart"/>
      <w:r w:rsidR="006B7E62" w:rsidRPr="00566C27">
        <w:rPr>
          <w:rFonts w:asciiTheme="minorHAnsi" w:hAnsiTheme="minorHAnsi" w:cstheme="minorHAnsi"/>
        </w:rPr>
        <w:t>önceki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rakam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yüzde</w:t>
      </w:r>
      <w:proofErr w:type="spellEnd"/>
      <w:r w:rsidR="006B7E62" w:rsidRPr="00566C27">
        <w:rPr>
          <w:rFonts w:asciiTheme="minorHAnsi" w:hAnsiTheme="minorHAnsi" w:cstheme="minorHAnsi"/>
        </w:rPr>
        <w:t xml:space="preserve"> 1),</w:t>
      </w:r>
      <w:r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Fransa’nın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ise</w:t>
      </w:r>
      <w:proofErr w:type="spellEnd"/>
      <w:r w:rsidR="006B7E62" w:rsidRPr="00566C27">
        <w:rPr>
          <w:rFonts w:asciiTheme="minorHAnsi" w:hAnsiTheme="minorHAnsi" w:cstheme="minorHAnsi"/>
        </w:rPr>
        <w:t xml:space="preserve"> %2 (</w:t>
      </w:r>
      <w:proofErr w:type="spellStart"/>
      <w:r w:rsidR="006B7E62" w:rsidRPr="00566C27">
        <w:rPr>
          <w:rFonts w:asciiTheme="minorHAnsi" w:hAnsiTheme="minorHAnsi" w:cstheme="minorHAnsi"/>
        </w:rPr>
        <w:t>önceki</w:t>
      </w:r>
      <w:proofErr w:type="spellEnd"/>
      <w:r w:rsidR="006B7E62" w:rsidRPr="00566C27">
        <w:rPr>
          <w:rFonts w:asciiTheme="minorHAnsi" w:hAnsiTheme="minorHAnsi" w:cstheme="minorHAnsi"/>
        </w:rPr>
        <w:t xml:space="preserve"> </w:t>
      </w:r>
      <w:proofErr w:type="spellStart"/>
      <w:r w:rsidR="006B7E62" w:rsidRPr="00566C27">
        <w:rPr>
          <w:rFonts w:asciiTheme="minorHAnsi" w:hAnsiTheme="minorHAnsi" w:cstheme="minorHAnsi"/>
        </w:rPr>
        <w:t>rakam</w:t>
      </w:r>
      <w:proofErr w:type="spellEnd"/>
      <w:r w:rsidR="006B7E62" w:rsidRPr="00566C27">
        <w:rPr>
          <w:rFonts w:asciiTheme="minorHAnsi" w:hAnsiTheme="minorHAnsi" w:cstheme="minorHAnsi"/>
        </w:rPr>
        <w:t xml:space="preserve"> %1) </w:t>
      </w:r>
      <w:proofErr w:type="spellStart"/>
      <w:r w:rsidRPr="00566C27">
        <w:rPr>
          <w:rFonts w:asciiTheme="minorHAnsi" w:hAnsiTheme="minorHAnsi" w:cstheme="minorHAnsi"/>
        </w:rPr>
        <w:t>büyümesi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öngörülüyor</w:t>
      </w:r>
      <w:proofErr w:type="spellEnd"/>
      <w:r w:rsidR="008942B5" w:rsidRPr="00566C27">
        <w:rPr>
          <w:rFonts w:asciiTheme="minorHAnsi" w:hAnsiTheme="minorHAnsi" w:cstheme="minorHAnsi"/>
        </w:rPr>
        <w:t xml:space="preserve">. </w:t>
      </w: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  <w:proofErr w:type="spellStart"/>
      <w:r w:rsidRPr="00566C27">
        <w:rPr>
          <w:rFonts w:asciiTheme="minorHAnsi" w:hAnsiTheme="minorHAnsi" w:cstheme="minorHAnsi"/>
        </w:rPr>
        <w:t>Uluslararası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pazarlarda</w:t>
      </w:r>
      <w:proofErr w:type="spellEnd"/>
      <w:r w:rsidR="008942B5" w:rsidRPr="00566C27">
        <w:rPr>
          <w:rFonts w:asciiTheme="minorHAnsi" w:hAnsiTheme="minorHAnsi" w:cstheme="minorHAnsi"/>
        </w:rPr>
        <w:t xml:space="preserve">, </w:t>
      </w:r>
      <w:proofErr w:type="spellStart"/>
      <w:r w:rsidR="008942B5" w:rsidRPr="00566C27">
        <w:rPr>
          <w:rFonts w:asciiTheme="minorHAnsi" w:hAnsiTheme="minorHAnsi" w:cstheme="minorHAnsi"/>
        </w:rPr>
        <w:t>Brezilya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pazarının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10 (</w:t>
      </w:r>
      <w:proofErr w:type="spellStart"/>
      <w:r w:rsidR="008942B5" w:rsidRPr="00566C27">
        <w:rPr>
          <w:rFonts w:asciiTheme="minorHAnsi" w:hAnsiTheme="minorHAnsi" w:cstheme="minorHAnsi"/>
        </w:rPr>
        <w:t>önceki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rakam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5), </w:t>
      </w:r>
      <w:proofErr w:type="spellStart"/>
      <w:r w:rsidR="008942B5" w:rsidRPr="00566C27">
        <w:rPr>
          <w:rFonts w:asciiTheme="minorHAnsi" w:hAnsiTheme="minorHAnsi" w:cstheme="minorHAnsi"/>
        </w:rPr>
        <w:t>Rusya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pazarının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ise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>10’da</w:t>
      </w:r>
      <w:r w:rsidR="008942B5" w:rsidRPr="00566C27">
        <w:rPr>
          <w:rFonts w:asciiTheme="minorHAnsi" w:hAnsiTheme="minorHAnsi" w:cstheme="minorHAnsi"/>
        </w:rPr>
        <w:t xml:space="preserve">n </w:t>
      </w:r>
      <w:proofErr w:type="spellStart"/>
      <w:r w:rsidR="008942B5" w:rsidRPr="00566C27">
        <w:rPr>
          <w:rFonts w:asciiTheme="minorHAnsi" w:hAnsiTheme="minorHAnsi" w:cstheme="minorHAnsi"/>
        </w:rPr>
        <w:t>fazla</w:t>
      </w:r>
      <w:proofErr w:type="spellEnd"/>
      <w:r w:rsidR="008942B5" w:rsidRPr="00566C27">
        <w:rPr>
          <w:rFonts w:asciiTheme="minorHAnsi" w:hAnsiTheme="minorHAnsi" w:cstheme="minorHAnsi"/>
        </w:rPr>
        <w:t xml:space="preserve"> (</w:t>
      </w:r>
      <w:proofErr w:type="spellStart"/>
      <w:r w:rsidR="008942B5" w:rsidRPr="00566C27">
        <w:rPr>
          <w:rFonts w:asciiTheme="minorHAnsi" w:hAnsiTheme="minorHAnsi" w:cstheme="minorHAnsi"/>
        </w:rPr>
        <w:t>önceki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rakam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yaklaşık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 xml:space="preserve">10) </w:t>
      </w:r>
      <w:proofErr w:type="spellStart"/>
      <w:r w:rsidRPr="00566C27">
        <w:rPr>
          <w:rFonts w:asciiTheme="minorHAnsi" w:hAnsiTheme="minorHAnsi" w:cstheme="minorHAnsi"/>
        </w:rPr>
        <w:t>büyüyeceği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tahmin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Pr="00566C27">
        <w:rPr>
          <w:rFonts w:asciiTheme="minorHAnsi" w:hAnsiTheme="minorHAnsi" w:cstheme="minorHAnsi"/>
        </w:rPr>
        <w:t>ediliyor</w:t>
      </w:r>
      <w:proofErr w:type="spellEnd"/>
      <w:r w:rsidRPr="00566C27">
        <w:rPr>
          <w:rFonts w:asciiTheme="minorHAnsi" w:hAnsiTheme="minorHAnsi" w:cstheme="minorHAnsi"/>
        </w:rPr>
        <w:t xml:space="preserve">. </w:t>
      </w:r>
      <w:proofErr w:type="spellStart"/>
      <w:r w:rsidRPr="00566C27">
        <w:rPr>
          <w:rFonts w:asciiTheme="minorHAnsi" w:hAnsiTheme="minorHAnsi" w:cstheme="minorHAnsi"/>
        </w:rPr>
        <w:t>Çin’</w:t>
      </w:r>
      <w:r w:rsidR="008942B5" w:rsidRPr="00566C27">
        <w:rPr>
          <w:rFonts w:asciiTheme="minorHAnsi" w:hAnsiTheme="minorHAnsi" w:cstheme="minorHAnsi"/>
        </w:rPr>
        <w:t>in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5, </w:t>
      </w:r>
      <w:proofErr w:type="spellStart"/>
      <w:r w:rsidR="008942B5" w:rsidRPr="00566C27">
        <w:rPr>
          <w:rFonts w:asciiTheme="minorHAnsi" w:hAnsiTheme="minorHAnsi" w:cstheme="minorHAnsi"/>
        </w:rPr>
        <w:t>Hindistan’ın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ise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8 (</w:t>
      </w:r>
      <w:proofErr w:type="spellStart"/>
      <w:r w:rsidR="008942B5" w:rsidRPr="00566C27">
        <w:rPr>
          <w:rFonts w:asciiTheme="minorHAnsi" w:hAnsiTheme="minorHAnsi" w:cstheme="minorHAnsi"/>
        </w:rPr>
        <w:t>önceki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rakam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yüzde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r w:rsidRPr="00566C27">
        <w:rPr>
          <w:rFonts w:asciiTheme="minorHAnsi" w:hAnsiTheme="minorHAnsi" w:cstheme="minorHAnsi"/>
        </w:rPr>
        <w:t xml:space="preserve">6) </w:t>
      </w:r>
      <w:proofErr w:type="spellStart"/>
      <w:r w:rsidRPr="00566C27">
        <w:rPr>
          <w:rFonts w:asciiTheme="minorHAnsi" w:hAnsiTheme="minorHAnsi" w:cstheme="minorHAnsi"/>
        </w:rPr>
        <w:t>büyüyeceği</w:t>
      </w:r>
      <w:proofErr w:type="spellEnd"/>
      <w:r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bekleniyor</w:t>
      </w:r>
      <w:proofErr w:type="spellEnd"/>
      <w:r w:rsidR="008942B5" w:rsidRPr="00566C27">
        <w:rPr>
          <w:rFonts w:asciiTheme="minorHAnsi" w:hAnsiTheme="minorHAnsi" w:cstheme="minorHAnsi"/>
        </w:rPr>
        <w:t>.</w:t>
      </w: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937189" w:rsidRPr="00566C27" w:rsidRDefault="00937189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  <w:r w:rsidRPr="00566C27">
        <w:rPr>
          <w:rFonts w:asciiTheme="minorHAnsi" w:hAnsiTheme="minorHAnsi" w:cstheme="minorHAnsi"/>
        </w:rPr>
        <w:t xml:space="preserve">Bu </w:t>
      </w:r>
      <w:proofErr w:type="spellStart"/>
      <w:r w:rsidR="008942B5" w:rsidRPr="00566C27">
        <w:rPr>
          <w:rFonts w:asciiTheme="minorHAnsi" w:hAnsiTheme="minorHAnsi" w:cstheme="minorHAnsi"/>
        </w:rPr>
        <w:t>bağlamda</w:t>
      </w:r>
      <w:proofErr w:type="spellEnd"/>
      <w:r w:rsidR="008942B5" w:rsidRPr="00566C27">
        <w:rPr>
          <w:rFonts w:asciiTheme="minorHAnsi" w:hAnsiTheme="minorHAnsi" w:cstheme="minorHAnsi"/>
        </w:rPr>
        <w:t xml:space="preserve"> Renault Grubu </w:t>
      </w:r>
      <w:r w:rsidRPr="00566C27">
        <w:rPr>
          <w:rFonts w:asciiTheme="minorHAnsi" w:hAnsiTheme="minorHAnsi" w:cstheme="minorHAnsi"/>
        </w:rPr>
        <w:t>2018’de</w:t>
      </w:r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tüm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bölgelerde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yenilenen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ürün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gamı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sayesinde</w:t>
      </w:r>
      <w:proofErr w:type="spellEnd"/>
      <w:r w:rsidR="008942B5" w:rsidRPr="00566C27">
        <w:rPr>
          <w:rFonts w:asciiTheme="minorHAnsi" w:hAnsiTheme="minorHAnsi" w:cstheme="minorHAnsi"/>
        </w:rPr>
        <w:t xml:space="preserve"> Drive the Future </w:t>
      </w:r>
      <w:proofErr w:type="spellStart"/>
      <w:r w:rsidR="008942B5" w:rsidRPr="00566C27">
        <w:rPr>
          <w:rFonts w:asciiTheme="minorHAnsi" w:hAnsiTheme="minorHAnsi" w:cstheme="minorHAnsi"/>
        </w:rPr>
        <w:t>planıyla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bağlantılı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olarak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uluslararası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pazarlardaki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büyümesine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devam</w:t>
      </w:r>
      <w:proofErr w:type="spellEnd"/>
      <w:r w:rsidR="008942B5" w:rsidRPr="00566C27">
        <w:rPr>
          <w:rFonts w:asciiTheme="minorHAnsi" w:hAnsiTheme="minorHAnsi" w:cstheme="minorHAnsi"/>
        </w:rPr>
        <w:t xml:space="preserve"> </w:t>
      </w:r>
      <w:proofErr w:type="spellStart"/>
      <w:r w:rsidR="008942B5" w:rsidRPr="00566C27">
        <w:rPr>
          <w:rFonts w:asciiTheme="minorHAnsi" w:hAnsiTheme="minorHAnsi" w:cstheme="minorHAnsi"/>
        </w:rPr>
        <w:t>edecek</w:t>
      </w:r>
      <w:proofErr w:type="spellEnd"/>
      <w:r w:rsidR="008942B5" w:rsidRPr="00566C27">
        <w:rPr>
          <w:rFonts w:asciiTheme="minorHAnsi" w:hAnsiTheme="minorHAnsi" w:cstheme="minorHAnsi"/>
        </w:rPr>
        <w:t>.</w:t>
      </w:r>
      <w:r w:rsidRPr="00566C27">
        <w:rPr>
          <w:rFonts w:asciiTheme="minorHAnsi" w:hAnsiTheme="minorHAnsi" w:cstheme="minorHAnsi"/>
        </w:rPr>
        <w:t xml:space="preserve"> </w:t>
      </w: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  <w:b/>
        </w:rPr>
      </w:pPr>
      <w:proofErr w:type="spellStart"/>
      <w:r w:rsidRPr="00566C27">
        <w:rPr>
          <w:rFonts w:asciiTheme="minorHAnsi" w:hAnsiTheme="minorHAnsi" w:cstheme="minorHAnsi"/>
          <w:b/>
        </w:rPr>
        <w:lastRenderedPageBreak/>
        <w:t>Bölgelere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</w:rPr>
        <w:t>göre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</w:rPr>
        <w:t>Grup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</w:rPr>
        <w:t>satışları</w:t>
      </w:r>
      <w:proofErr w:type="spellEnd"/>
      <w:r w:rsidRPr="00566C27">
        <w:rPr>
          <w:rFonts w:asciiTheme="minorHAnsi" w:hAnsiTheme="minorHAnsi" w:cstheme="minorHAnsi"/>
          <w:b/>
        </w:rPr>
        <w:t xml:space="preserve"> (</w:t>
      </w:r>
      <w:proofErr w:type="spellStart"/>
      <w:r w:rsidRPr="00566C27">
        <w:rPr>
          <w:rFonts w:asciiTheme="minorHAnsi" w:hAnsiTheme="minorHAnsi" w:cstheme="minorHAnsi"/>
          <w:b/>
        </w:rPr>
        <w:t>Bi</w:t>
      </w:r>
      <w:r w:rsidR="00AE36E8">
        <w:rPr>
          <w:rFonts w:asciiTheme="minorHAnsi" w:hAnsiTheme="minorHAnsi" w:cstheme="minorHAnsi"/>
          <w:b/>
        </w:rPr>
        <w:t>nek</w:t>
      </w:r>
      <w:proofErr w:type="spellEnd"/>
      <w:r w:rsidR="00AE36E8">
        <w:rPr>
          <w:rFonts w:asciiTheme="minorHAnsi" w:hAnsiTheme="minorHAnsi" w:cstheme="minorHAnsi"/>
          <w:b/>
        </w:rPr>
        <w:t xml:space="preserve"> </w:t>
      </w:r>
      <w:proofErr w:type="spellStart"/>
      <w:r w:rsidR="00AE36E8">
        <w:rPr>
          <w:rFonts w:asciiTheme="minorHAnsi" w:hAnsiTheme="minorHAnsi" w:cstheme="minorHAnsi"/>
          <w:b/>
        </w:rPr>
        <w:t>Otomobil</w:t>
      </w:r>
      <w:proofErr w:type="spellEnd"/>
      <w:r w:rsidR="00AE36E8">
        <w:rPr>
          <w:rFonts w:asciiTheme="minorHAnsi" w:hAnsiTheme="minorHAnsi" w:cstheme="minorHAnsi"/>
          <w:b/>
        </w:rPr>
        <w:t xml:space="preserve"> + </w:t>
      </w:r>
      <w:proofErr w:type="spellStart"/>
      <w:r w:rsidR="00AE36E8">
        <w:rPr>
          <w:rFonts w:asciiTheme="minorHAnsi" w:hAnsiTheme="minorHAnsi" w:cstheme="minorHAnsi"/>
          <w:b/>
        </w:rPr>
        <w:t>Hafif</w:t>
      </w:r>
      <w:proofErr w:type="spellEnd"/>
      <w:r w:rsidR="00AE36E8">
        <w:rPr>
          <w:rFonts w:asciiTheme="minorHAnsi" w:hAnsiTheme="minorHAnsi" w:cstheme="minorHAnsi"/>
          <w:b/>
        </w:rPr>
        <w:t xml:space="preserve"> </w:t>
      </w:r>
      <w:proofErr w:type="spellStart"/>
      <w:r w:rsidR="00AE36E8">
        <w:rPr>
          <w:rFonts w:asciiTheme="minorHAnsi" w:hAnsiTheme="minorHAnsi" w:cstheme="minorHAnsi"/>
          <w:b/>
        </w:rPr>
        <w:t>Ticari</w:t>
      </w:r>
      <w:proofErr w:type="spellEnd"/>
      <w:r w:rsidRPr="00566C27">
        <w:rPr>
          <w:rFonts w:asciiTheme="minorHAnsi" w:hAnsiTheme="minorHAnsi" w:cstheme="minorHAnsi"/>
          <w:b/>
        </w:rPr>
        <w:t>)</w:t>
      </w:r>
    </w:p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</w:rPr>
      </w:pPr>
    </w:p>
    <w:tbl>
      <w:tblPr>
        <w:tblW w:w="6860" w:type="dxa"/>
        <w:tblInd w:w="1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40"/>
        <w:gridCol w:w="1240"/>
        <w:gridCol w:w="1240"/>
      </w:tblGrid>
      <w:tr w:rsidR="008942B5" w:rsidRPr="00566C27" w:rsidTr="006C1DEE">
        <w:trPr>
          <w:trHeight w:val="39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Haziran’a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kadar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*</w:t>
            </w:r>
          </w:p>
        </w:tc>
      </w:tr>
      <w:tr w:rsidR="008942B5" w:rsidRPr="00566C27" w:rsidTr="006C1DE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%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değ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Fransa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389 216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368 002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% 5,8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Avrupa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>** (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Fransa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Hariç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681 502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657 558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% 3,6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Fransa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+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Avrupa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Toplam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1 070 718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1 025 560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% 4,4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Afrika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Orta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Doğu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Hindistan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240 494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251 723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-%4,5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Avrasya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371 789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323 051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%15,1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 xml:space="preserve">Güney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ve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Kuzey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Amerika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214 370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181 592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%18,1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Asya</w:t>
            </w:r>
            <w:proofErr w:type="spellEnd"/>
            <w:r w:rsidRPr="00566C2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Cs w:val="24"/>
              </w:rPr>
              <w:t>Pasifik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170 324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100 465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Cs w:val="24"/>
              </w:rPr>
            </w:pPr>
            <w:r w:rsidRPr="00566C27">
              <w:rPr>
                <w:rFonts w:asciiTheme="minorHAnsi" w:hAnsiTheme="minorHAnsi" w:cstheme="minorHAnsi"/>
                <w:szCs w:val="24"/>
              </w:rPr>
              <w:t>%69,5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Fransa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+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Avrupa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hariç</w:t>
            </w:r>
            <w:proofErr w:type="spellEnd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toplam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996 977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856 831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Cs w:val="24"/>
              </w:rPr>
              <w:t>%16,4</w:t>
            </w:r>
          </w:p>
        </w:tc>
      </w:tr>
      <w:tr w:rsidR="008942B5" w:rsidRPr="00566C27" w:rsidTr="006C1DEE">
        <w:trPr>
          <w:trHeight w:val="3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</w:rPr>
            </w:pP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Dünya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2 067 695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1 882 391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4"/>
              </w:rPr>
            </w:pPr>
            <w:r w:rsidRPr="00566C27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>%9,8</w:t>
            </w:r>
          </w:p>
        </w:tc>
      </w:tr>
    </w:tbl>
    <w:p w:rsidR="008942B5" w:rsidRPr="00566C27" w:rsidRDefault="008942B5" w:rsidP="00937189">
      <w:pPr>
        <w:spacing w:line="250" w:lineRule="auto"/>
        <w:ind w:left="1349" w:right="652"/>
        <w:jc w:val="both"/>
        <w:rPr>
          <w:rFonts w:asciiTheme="minorHAnsi" w:hAnsiTheme="minorHAnsi" w:cstheme="minorHAnsi"/>
          <w:szCs w:val="24"/>
        </w:rPr>
      </w:pPr>
    </w:p>
    <w:tbl>
      <w:tblPr>
        <w:tblW w:w="6860" w:type="dxa"/>
        <w:tblInd w:w="1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40"/>
        <w:gridCol w:w="1240"/>
        <w:gridCol w:w="1240"/>
      </w:tblGrid>
      <w:tr w:rsidR="00937189" w:rsidRPr="00566C27" w:rsidTr="006C1DEE">
        <w:trPr>
          <w:trHeight w:val="264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66C2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proofErr w:type="spellStart"/>
            <w:r w:rsidRPr="00566C27">
              <w:rPr>
                <w:rFonts w:asciiTheme="minorHAnsi" w:hAnsiTheme="minorHAnsi" w:cstheme="minorHAnsi"/>
                <w:sz w:val="18"/>
                <w:szCs w:val="18"/>
              </w:rPr>
              <w:t>Satışlar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20"/>
                <w:lang w:eastAsia="fr-FR"/>
              </w:rPr>
            </w:pPr>
          </w:p>
        </w:tc>
      </w:tr>
      <w:tr w:rsidR="00937189" w:rsidRPr="00566C27" w:rsidTr="006C1DEE">
        <w:trPr>
          <w:trHeight w:val="264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66C27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566C2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Avrupa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 =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Avrupa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Birliği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İzlanda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Norveç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ve</w:t>
            </w:r>
            <w:proofErr w:type="spellEnd"/>
            <w:r w:rsidRPr="00566C2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C27">
              <w:rPr>
                <w:rFonts w:asciiTheme="minorHAnsi" w:hAnsiTheme="minorHAnsi" w:cstheme="minorHAnsi"/>
                <w:sz w:val="20"/>
              </w:rPr>
              <w:t>İsviçre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189" w:rsidRPr="00566C27" w:rsidRDefault="00937189" w:rsidP="006C1DE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</w:tc>
      </w:tr>
    </w:tbl>
    <w:p w:rsidR="00937189" w:rsidRPr="00566C27" w:rsidRDefault="00937189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8942B5" w:rsidRPr="00566C27" w:rsidRDefault="008942B5" w:rsidP="008942B5">
      <w:pPr>
        <w:ind w:left="708" w:firstLine="708"/>
        <w:rPr>
          <w:rFonts w:asciiTheme="minorHAnsi" w:hAnsiTheme="minorHAnsi" w:cstheme="minorHAnsi"/>
          <w:b/>
        </w:rPr>
      </w:pPr>
    </w:p>
    <w:p w:rsidR="00937189" w:rsidRPr="00566C27" w:rsidRDefault="008942B5" w:rsidP="008942B5">
      <w:pPr>
        <w:ind w:left="708" w:firstLine="708"/>
        <w:rPr>
          <w:rFonts w:asciiTheme="minorHAnsi" w:eastAsia="Arial" w:hAnsiTheme="minorHAnsi" w:cstheme="minorHAnsi"/>
          <w:sz w:val="16"/>
          <w:szCs w:val="16"/>
        </w:rPr>
      </w:pPr>
      <w:proofErr w:type="spellStart"/>
      <w:r w:rsidRPr="00566C27">
        <w:rPr>
          <w:rFonts w:asciiTheme="minorHAnsi" w:hAnsiTheme="minorHAnsi" w:cstheme="minorHAnsi"/>
          <w:b/>
        </w:rPr>
        <w:t>Markalara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</w:rPr>
        <w:t>göre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  <w:proofErr w:type="spellStart"/>
      <w:r w:rsidRPr="00566C27">
        <w:rPr>
          <w:rFonts w:asciiTheme="minorHAnsi" w:hAnsiTheme="minorHAnsi" w:cstheme="minorHAnsi"/>
          <w:b/>
        </w:rPr>
        <w:t>satışlar</w:t>
      </w:r>
      <w:proofErr w:type="spellEnd"/>
      <w:r w:rsidRPr="00566C27">
        <w:rPr>
          <w:rFonts w:asciiTheme="minorHAnsi" w:hAnsiTheme="minorHAnsi" w:cstheme="minorHAnsi"/>
          <w:b/>
        </w:rPr>
        <w:t xml:space="preserve"> </w:t>
      </w:r>
    </w:p>
    <w:p w:rsidR="00937189" w:rsidRPr="00566C27" w:rsidRDefault="00937189" w:rsidP="00937189">
      <w:pPr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6860" w:type="dxa"/>
        <w:tblInd w:w="1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40"/>
        <w:gridCol w:w="1240"/>
        <w:gridCol w:w="1240"/>
      </w:tblGrid>
      <w:tr w:rsidR="008942B5" w:rsidRPr="00566C27" w:rsidTr="008942B5">
        <w:trPr>
          <w:trHeight w:val="39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2B5" w:rsidRPr="00566C27" w:rsidRDefault="00AE36E8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Ocak-Haziran </w:t>
            </w:r>
          </w:p>
        </w:tc>
      </w:tr>
      <w:tr w:rsidR="008942B5" w:rsidRPr="00566C27" w:rsidTr="008942B5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 xml:space="preserve">% </w:t>
            </w:r>
            <w:proofErr w:type="spellStart"/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değ</w:t>
            </w:r>
            <w:proofErr w:type="spellEnd"/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RENAULT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1 164 141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1 144 343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%1,7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214 442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201 537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%6,4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PC+LCV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1 378 583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1 345 880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%2,4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RENAULT SAMSUNG MOTORS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38 580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52 776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%-26,9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DACIA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355 068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310 653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%14,3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23 027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22 712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%1,4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PC+LCV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378 095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333 365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%13,4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LADA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179 843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144 832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%24,2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6 683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5 538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%20,7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PC+LCV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186 526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150 370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%24,0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ALPINE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644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JINBEI&amp;HUASONG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8 657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76 610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PC+LCV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85 267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GROUPE RENAULT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942B5" w:rsidRPr="00566C27" w:rsidRDefault="008942B5" w:rsidP="006C1DEE">
            <w:pPr>
              <w:rPr>
                <w:rFonts w:asciiTheme="minorHAnsi" w:eastAsia="Times New Roman" w:hAnsiTheme="minorHAnsi" w:cstheme="minorHAnsi"/>
                <w:color w:val="FFFFFF"/>
                <w:sz w:val="20"/>
              </w:rPr>
            </w:pPr>
            <w:r w:rsidRPr="00566C27">
              <w:rPr>
                <w:rFonts w:asciiTheme="minorHAnsi" w:hAnsiTheme="minorHAnsi" w:cstheme="minorHAnsi"/>
                <w:color w:val="FFFFFF"/>
                <w:sz w:val="20"/>
              </w:rPr>
              <w:t> 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PC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1 746 933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1 652 604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%5,7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320 762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229 787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566C27">
              <w:rPr>
                <w:rFonts w:asciiTheme="minorHAnsi" w:hAnsiTheme="minorHAnsi" w:cstheme="minorHAnsi"/>
                <w:sz w:val="20"/>
              </w:rPr>
              <w:t>%39,6</w:t>
            </w:r>
          </w:p>
        </w:tc>
      </w:tr>
      <w:tr w:rsidR="008942B5" w:rsidRPr="00566C27" w:rsidTr="008942B5">
        <w:trPr>
          <w:trHeight w:val="26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PC+LCV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2 067 695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1 882 391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B5" w:rsidRPr="00566C27" w:rsidRDefault="008942B5" w:rsidP="006C1DE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566C27">
              <w:rPr>
                <w:rFonts w:asciiTheme="minorHAnsi" w:hAnsiTheme="minorHAnsi" w:cstheme="minorHAnsi"/>
                <w:b/>
                <w:bCs/>
                <w:sz w:val="20"/>
              </w:rPr>
              <w:t>%9,8</w:t>
            </w:r>
          </w:p>
        </w:tc>
      </w:tr>
    </w:tbl>
    <w:p w:rsidR="008942B5" w:rsidRPr="00566C27" w:rsidRDefault="008942B5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937189" w:rsidRPr="00566C27" w:rsidRDefault="00937189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Pr="00566C27" w:rsidRDefault="0058064D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Pr="00566C27" w:rsidRDefault="0058064D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Pr="00566C27" w:rsidRDefault="0058064D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Default="0058064D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AE36E8" w:rsidRDefault="00AE36E8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AE36E8" w:rsidRDefault="00AE36E8" w:rsidP="00937189">
      <w:pPr>
        <w:rPr>
          <w:rFonts w:asciiTheme="minorHAnsi" w:eastAsia="Arial" w:hAnsiTheme="minorHAnsi" w:cstheme="minorHAnsi"/>
          <w:sz w:val="16"/>
          <w:szCs w:val="16"/>
        </w:rPr>
      </w:pPr>
    </w:p>
    <w:tbl>
      <w:tblPr>
        <w:tblpPr w:leftFromText="180" w:rightFromText="180" w:vertAnchor="text" w:horzAnchor="page" w:tblpX="1891" w:tblpY="85"/>
        <w:tblOverlap w:val="never"/>
        <w:tblW w:w="6227" w:type="dxa"/>
        <w:tblLook w:val="04A0" w:firstRow="1" w:lastRow="0" w:firstColumn="1" w:lastColumn="0" w:noHBand="0" w:noVBand="1"/>
      </w:tblPr>
      <w:tblGrid>
        <w:gridCol w:w="460"/>
        <w:gridCol w:w="2828"/>
        <w:gridCol w:w="1380"/>
        <w:gridCol w:w="1559"/>
      </w:tblGrid>
      <w:tr w:rsidR="00AE36E8" w:rsidRPr="00AE36E8" w:rsidTr="00AE36E8">
        <w:trPr>
          <w:trHeight w:val="330"/>
        </w:trPr>
        <w:tc>
          <w:tcPr>
            <w:tcW w:w="6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tr-TR"/>
              </w:rPr>
              <w:t xml:space="preserve">Renault </w:t>
            </w:r>
            <w:proofErr w:type="gramStart"/>
            <w:r w:rsidRPr="00AE36E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tr-TR"/>
              </w:rPr>
              <w:t>Grubu : 15</w:t>
            </w:r>
            <w:proofErr w:type="gramEnd"/>
            <w:r w:rsidRPr="00AE36E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tr-TR"/>
              </w:rPr>
              <w:t xml:space="preserve"> Pazar - İlk 6 ay (Twizy hariç)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#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Ülke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Satış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 xml:space="preserve"> 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 xml:space="preserve">Pazar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Payı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 xml:space="preserve"> %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FRANSA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389 216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27,23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RUSYA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240 728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28,35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ALMANYA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124 251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6,28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İTALYA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118 376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9,79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ÇİN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117 646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0,88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İSPANYA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100 841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11,89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BREZİLYA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93 850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8,33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ARJANTİN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70 536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14,63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TÜRKİYE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68 414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19,36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İRAN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61 354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8,1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İNGİLTERE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57 290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3,82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BELÇİKA + LÜKSEMBURG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52 962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12,92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HİNDİSTAN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42 697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2,11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GÜNEY KORE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40 920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4,62</w:t>
            </w:r>
          </w:p>
        </w:tc>
      </w:tr>
      <w:tr w:rsidR="00AE36E8" w:rsidRPr="00AE36E8" w:rsidTr="00AE36E8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15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FAS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39 747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6E8" w:rsidRPr="00AE36E8" w:rsidRDefault="00AE36E8" w:rsidP="00AE36E8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val="en-US"/>
              </w:rPr>
            </w:pPr>
            <w:r w:rsidRPr="00AE36E8">
              <w:rPr>
                <w:rFonts w:ascii="Calibri" w:eastAsia="Times New Roman" w:hAnsi="Calibri" w:cs="Calibri"/>
                <w:color w:val="000000"/>
                <w:szCs w:val="24"/>
                <w:lang w:val="tr-TR"/>
              </w:rPr>
              <w:t>43,67</w:t>
            </w:r>
          </w:p>
        </w:tc>
      </w:tr>
    </w:tbl>
    <w:p w:rsidR="00AE36E8" w:rsidRDefault="00AE36E8" w:rsidP="00937189">
      <w:pPr>
        <w:rPr>
          <w:rFonts w:asciiTheme="minorHAnsi" w:eastAsiaTheme="minorHAnsi" w:hAnsiTheme="minorHAnsi" w:cstheme="minorBidi"/>
          <w:sz w:val="22"/>
          <w:szCs w:val="22"/>
          <w:lang w:val="tr-TR"/>
        </w:rPr>
      </w:pPr>
      <w:r>
        <w:fldChar w:fldCharType="begin"/>
      </w:r>
      <w:r>
        <w:instrText xml:space="preserve"> LINK Excel.Sheet.12 "Book1" "Sheet1!R2C2:R18C5" \a \f 4 \h  \* MERGEFORMAT </w:instrText>
      </w:r>
      <w:r>
        <w:fldChar w:fldCharType="separate"/>
      </w:r>
    </w:p>
    <w:p w:rsidR="00AE36E8" w:rsidRDefault="00AE36E8" w:rsidP="00937189">
      <w:pPr>
        <w:rPr>
          <w:rFonts w:asciiTheme="minorHAnsi" w:eastAsia="Arial" w:hAnsiTheme="minorHAnsi" w:cstheme="minorHAnsi"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fldChar w:fldCharType="end"/>
      </w:r>
      <w:r>
        <w:rPr>
          <w:rFonts w:asciiTheme="minorHAnsi" w:eastAsia="Arial" w:hAnsiTheme="minorHAnsi" w:cstheme="minorHAnsi"/>
          <w:sz w:val="16"/>
          <w:szCs w:val="16"/>
        </w:rPr>
        <w:br w:type="textWrapping" w:clear="all"/>
      </w:r>
    </w:p>
    <w:p w:rsidR="00AE36E8" w:rsidRDefault="00AE36E8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AE36E8" w:rsidRPr="00566C27" w:rsidRDefault="00AE36E8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Pr="00566C27" w:rsidRDefault="0058064D" w:rsidP="00937189">
      <w:pPr>
        <w:rPr>
          <w:rFonts w:asciiTheme="minorHAnsi" w:eastAsia="Arial" w:hAnsiTheme="minorHAnsi" w:cstheme="minorHAnsi"/>
          <w:sz w:val="16"/>
          <w:szCs w:val="16"/>
        </w:rPr>
      </w:pPr>
    </w:p>
    <w:p w:rsidR="0058064D" w:rsidRPr="00CA3E1D" w:rsidRDefault="0058064D" w:rsidP="00937189">
      <w:pPr>
        <w:rPr>
          <w:rFonts w:ascii="Arial" w:eastAsia="Arial" w:hAnsi="Arial" w:cs="Arial"/>
          <w:sz w:val="16"/>
          <w:szCs w:val="16"/>
        </w:rPr>
      </w:pPr>
    </w:p>
    <w:p w:rsidR="0058064D" w:rsidRDefault="0058064D" w:rsidP="006C54EA">
      <w:pPr>
        <w:pStyle w:val="GvdeMetni"/>
        <w:spacing w:line="360" w:lineRule="auto"/>
        <w:ind w:left="2721" w:right="522" w:hanging="1587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val="tr-TR" w:eastAsia="en-US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LINK Excel.Sheet.12 "Kitap1" "Sayfa1!R1C1:R16C4" \a \f 4 \h </w:instrText>
      </w:r>
      <w:r>
        <w:rPr>
          <w:lang w:val="tr-TR"/>
        </w:rPr>
        <w:fldChar w:fldCharType="separate"/>
      </w:r>
    </w:p>
    <w:p w:rsidR="0058064D" w:rsidRDefault="0058064D" w:rsidP="006C54EA">
      <w:pPr>
        <w:pStyle w:val="GvdeMetni"/>
        <w:spacing w:line="360" w:lineRule="auto"/>
        <w:ind w:left="2721" w:right="522" w:hanging="1587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val="tr-TR" w:eastAsia="en-US"/>
        </w:rPr>
      </w:pPr>
      <w:r>
        <w:rPr>
          <w:lang w:val="tr-TR"/>
        </w:rPr>
        <w:fldChar w:fldCharType="end"/>
      </w:r>
      <w:r>
        <w:rPr>
          <w:lang w:val="tr-TR"/>
        </w:rPr>
        <w:fldChar w:fldCharType="begin"/>
      </w:r>
      <w:r>
        <w:rPr>
          <w:lang w:val="tr-TR"/>
        </w:rPr>
        <w:instrText xml:space="preserve"> LINK Excel.Sheet.12 "Kitap1" "Sayfa1!R1C1:R16C4" \a \f 4 \h </w:instrText>
      </w:r>
      <w:r>
        <w:rPr>
          <w:lang w:val="tr-TR"/>
        </w:rPr>
        <w:fldChar w:fldCharType="separate"/>
      </w:r>
    </w:p>
    <w:p w:rsidR="00BD1901" w:rsidRDefault="0058064D" w:rsidP="006C54EA">
      <w:pPr>
        <w:pStyle w:val="GvdeMetni"/>
        <w:spacing w:line="360" w:lineRule="auto"/>
        <w:ind w:left="2721" w:right="522" w:hanging="1587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fldChar w:fldCharType="end"/>
      </w:r>
    </w:p>
    <w:sectPr w:rsidR="00BD190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6D" w:rsidRDefault="00D41D6D" w:rsidP="0009133B">
      <w:r>
        <w:separator/>
      </w:r>
    </w:p>
  </w:endnote>
  <w:endnote w:type="continuationSeparator" w:id="0">
    <w:p w:rsidR="00D41D6D" w:rsidRDefault="00D41D6D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943D44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D41D6D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943D44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A804A8" w:rsidRPr="00E0220F" w:rsidRDefault="00A804A8" w:rsidP="00DE3AC0">
    <w:pPr>
      <w:pStyle w:val="AltBilgi"/>
      <w:rPr>
        <w:rFonts w:cs="Arial"/>
        <w:sz w:val="16"/>
      </w:rPr>
    </w:pP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6D" w:rsidRDefault="00D41D6D" w:rsidP="0009133B">
      <w:r>
        <w:separator/>
      </w:r>
    </w:p>
  </w:footnote>
  <w:footnote w:type="continuationSeparator" w:id="0">
    <w:p w:rsidR="00D41D6D" w:rsidRDefault="00D41D6D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5C66"/>
    <w:multiLevelType w:val="hybridMultilevel"/>
    <w:tmpl w:val="DA58EE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987479E"/>
    <w:multiLevelType w:val="hybridMultilevel"/>
    <w:tmpl w:val="8AAA2A24"/>
    <w:lvl w:ilvl="0" w:tplc="040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1" w:hanging="360"/>
      </w:pPr>
      <w:rPr>
        <w:rFonts w:ascii="Wingdings" w:hAnsi="Wingdings" w:hint="default"/>
      </w:rPr>
    </w:lvl>
  </w:abstractNum>
  <w:abstractNum w:abstractNumId="10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3B3"/>
    <w:rsid w:val="00014C65"/>
    <w:rsid w:val="00017CAC"/>
    <w:rsid w:val="0003382D"/>
    <w:rsid w:val="000431FF"/>
    <w:rsid w:val="00046DE5"/>
    <w:rsid w:val="00047FD7"/>
    <w:rsid w:val="00054408"/>
    <w:rsid w:val="0007192E"/>
    <w:rsid w:val="00073E08"/>
    <w:rsid w:val="000766D2"/>
    <w:rsid w:val="00085C83"/>
    <w:rsid w:val="00086833"/>
    <w:rsid w:val="0009133B"/>
    <w:rsid w:val="000938B6"/>
    <w:rsid w:val="00093DF3"/>
    <w:rsid w:val="000952A9"/>
    <w:rsid w:val="000A185F"/>
    <w:rsid w:val="000A4884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2571"/>
    <w:rsid w:val="000F22B5"/>
    <w:rsid w:val="000F7910"/>
    <w:rsid w:val="00106BFD"/>
    <w:rsid w:val="00107CA1"/>
    <w:rsid w:val="001109A9"/>
    <w:rsid w:val="00114C6E"/>
    <w:rsid w:val="00117F59"/>
    <w:rsid w:val="00123A47"/>
    <w:rsid w:val="00140469"/>
    <w:rsid w:val="00147163"/>
    <w:rsid w:val="00151F32"/>
    <w:rsid w:val="00154C62"/>
    <w:rsid w:val="0015658D"/>
    <w:rsid w:val="00156D17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0E88"/>
    <w:rsid w:val="001E1F05"/>
    <w:rsid w:val="001F4493"/>
    <w:rsid w:val="001F580B"/>
    <w:rsid w:val="001F587A"/>
    <w:rsid w:val="00201F72"/>
    <w:rsid w:val="00202FD7"/>
    <w:rsid w:val="00203D47"/>
    <w:rsid w:val="00207BD6"/>
    <w:rsid w:val="00215B49"/>
    <w:rsid w:val="00224FC0"/>
    <w:rsid w:val="00225DDD"/>
    <w:rsid w:val="00235C0C"/>
    <w:rsid w:val="00240605"/>
    <w:rsid w:val="002461B5"/>
    <w:rsid w:val="0025724C"/>
    <w:rsid w:val="00267DCE"/>
    <w:rsid w:val="002707DD"/>
    <w:rsid w:val="0027473C"/>
    <w:rsid w:val="002754E8"/>
    <w:rsid w:val="002969FB"/>
    <w:rsid w:val="002A7B5A"/>
    <w:rsid w:val="002C1079"/>
    <w:rsid w:val="002C5FAD"/>
    <w:rsid w:val="002C710B"/>
    <w:rsid w:val="002D09C7"/>
    <w:rsid w:val="002E6FBC"/>
    <w:rsid w:val="002E7D0F"/>
    <w:rsid w:val="002F2FD8"/>
    <w:rsid w:val="00300C28"/>
    <w:rsid w:val="00302432"/>
    <w:rsid w:val="003032BD"/>
    <w:rsid w:val="00304E3F"/>
    <w:rsid w:val="003063FE"/>
    <w:rsid w:val="0033082D"/>
    <w:rsid w:val="00336EFD"/>
    <w:rsid w:val="00357513"/>
    <w:rsid w:val="003635B4"/>
    <w:rsid w:val="00367F09"/>
    <w:rsid w:val="00370B1C"/>
    <w:rsid w:val="00375597"/>
    <w:rsid w:val="00377910"/>
    <w:rsid w:val="00383E22"/>
    <w:rsid w:val="003861B2"/>
    <w:rsid w:val="00386CF4"/>
    <w:rsid w:val="00393023"/>
    <w:rsid w:val="003A1037"/>
    <w:rsid w:val="003A1B4F"/>
    <w:rsid w:val="003B01E3"/>
    <w:rsid w:val="003B3897"/>
    <w:rsid w:val="003C7810"/>
    <w:rsid w:val="003D1BC7"/>
    <w:rsid w:val="003E20DC"/>
    <w:rsid w:val="003F2887"/>
    <w:rsid w:val="003F2DD7"/>
    <w:rsid w:val="00402525"/>
    <w:rsid w:val="00406DE8"/>
    <w:rsid w:val="0040765C"/>
    <w:rsid w:val="00410631"/>
    <w:rsid w:val="00410A39"/>
    <w:rsid w:val="00412A9B"/>
    <w:rsid w:val="00415B17"/>
    <w:rsid w:val="00423844"/>
    <w:rsid w:val="00425F88"/>
    <w:rsid w:val="004359FE"/>
    <w:rsid w:val="00442CD2"/>
    <w:rsid w:val="00453170"/>
    <w:rsid w:val="004559A8"/>
    <w:rsid w:val="0046157D"/>
    <w:rsid w:val="00464F05"/>
    <w:rsid w:val="0047039A"/>
    <w:rsid w:val="00475A37"/>
    <w:rsid w:val="0047650B"/>
    <w:rsid w:val="0048264A"/>
    <w:rsid w:val="0048431E"/>
    <w:rsid w:val="00487BA1"/>
    <w:rsid w:val="0049353F"/>
    <w:rsid w:val="00496C12"/>
    <w:rsid w:val="0049775A"/>
    <w:rsid w:val="004B579A"/>
    <w:rsid w:val="004C019E"/>
    <w:rsid w:val="004C2E88"/>
    <w:rsid w:val="004C4676"/>
    <w:rsid w:val="004C4751"/>
    <w:rsid w:val="004C635F"/>
    <w:rsid w:val="004F1874"/>
    <w:rsid w:val="004F31BC"/>
    <w:rsid w:val="004F35D4"/>
    <w:rsid w:val="004F790A"/>
    <w:rsid w:val="0050133F"/>
    <w:rsid w:val="00504749"/>
    <w:rsid w:val="0050568A"/>
    <w:rsid w:val="0050694E"/>
    <w:rsid w:val="00515D5F"/>
    <w:rsid w:val="00522A16"/>
    <w:rsid w:val="00530F73"/>
    <w:rsid w:val="00531961"/>
    <w:rsid w:val="00533270"/>
    <w:rsid w:val="00566C27"/>
    <w:rsid w:val="00572D2B"/>
    <w:rsid w:val="0058064D"/>
    <w:rsid w:val="005832AB"/>
    <w:rsid w:val="005837CF"/>
    <w:rsid w:val="005A3301"/>
    <w:rsid w:val="005A657C"/>
    <w:rsid w:val="005B1583"/>
    <w:rsid w:val="005B78B9"/>
    <w:rsid w:val="005B7AA4"/>
    <w:rsid w:val="005B7DAE"/>
    <w:rsid w:val="005C4789"/>
    <w:rsid w:val="005C5C7A"/>
    <w:rsid w:val="005C7E3C"/>
    <w:rsid w:val="005D7FC0"/>
    <w:rsid w:val="005E76FF"/>
    <w:rsid w:val="005F6B94"/>
    <w:rsid w:val="005F7072"/>
    <w:rsid w:val="00603BD1"/>
    <w:rsid w:val="00611C6B"/>
    <w:rsid w:val="0061377B"/>
    <w:rsid w:val="00617E19"/>
    <w:rsid w:val="00622625"/>
    <w:rsid w:val="00631721"/>
    <w:rsid w:val="00637340"/>
    <w:rsid w:val="00641FA0"/>
    <w:rsid w:val="00653EBE"/>
    <w:rsid w:val="00656925"/>
    <w:rsid w:val="00656F61"/>
    <w:rsid w:val="0065704F"/>
    <w:rsid w:val="006618DB"/>
    <w:rsid w:val="006656D5"/>
    <w:rsid w:val="0068515C"/>
    <w:rsid w:val="006A2ED2"/>
    <w:rsid w:val="006A438E"/>
    <w:rsid w:val="006A53B1"/>
    <w:rsid w:val="006A7452"/>
    <w:rsid w:val="006B08FA"/>
    <w:rsid w:val="006B7876"/>
    <w:rsid w:val="006B7E62"/>
    <w:rsid w:val="006C2A5E"/>
    <w:rsid w:val="006C54EA"/>
    <w:rsid w:val="006C576B"/>
    <w:rsid w:val="006C6568"/>
    <w:rsid w:val="006D3F56"/>
    <w:rsid w:val="006E1E25"/>
    <w:rsid w:val="006E6E3F"/>
    <w:rsid w:val="006F372D"/>
    <w:rsid w:val="007027B0"/>
    <w:rsid w:val="00704511"/>
    <w:rsid w:val="00707235"/>
    <w:rsid w:val="00710213"/>
    <w:rsid w:val="00712721"/>
    <w:rsid w:val="00722167"/>
    <w:rsid w:val="00727D5F"/>
    <w:rsid w:val="00744744"/>
    <w:rsid w:val="00745375"/>
    <w:rsid w:val="00752671"/>
    <w:rsid w:val="0075374E"/>
    <w:rsid w:val="00763DAA"/>
    <w:rsid w:val="0076588F"/>
    <w:rsid w:val="0076674E"/>
    <w:rsid w:val="00773F2F"/>
    <w:rsid w:val="00774C4F"/>
    <w:rsid w:val="007762AE"/>
    <w:rsid w:val="00781216"/>
    <w:rsid w:val="0078189B"/>
    <w:rsid w:val="00784229"/>
    <w:rsid w:val="00787C76"/>
    <w:rsid w:val="00791AFD"/>
    <w:rsid w:val="007B2DFC"/>
    <w:rsid w:val="007C1A19"/>
    <w:rsid w:val="007D0A2D"/>
    <w:rsid w:val="007D74CE"/>
    <w:rsid w:val="007E1D40"/>
    <w:rsid w:val="007E2E0F"/>
    <w:rsid w:val="007E5503"/>
    <w:rsid w:val="008054A3"/>
    <w:rsid w:val="00806CD0"/>
    <w:rsid w:val="008132E8"/>
    <w:rsid w:val="00816847"/>
    <w:rsid w:val="00834BAC"/>
    <w:rsid w:val="008436DD"/>
    <w:rsid w:val="00846559"/>
    <w:rsid w:val="00851C05"/>
    <w:rsid w:val="00852E51"/>
    <w:rsid w:val="00855D65"/>
    <w:rsid w:val="0085637A"/>
    <w:rsid w:val="00867DCE"/>
    <w:rsid w:val="00874263"/>
    <w:rsid w:val="008848BE"/>
    <w:rsid w:val="00890996"/>
    <w:rsid w:val="008942B5"/>
    <w:rsid w:val="008A5270"/>
    <w:rsid w:val="008C5691"/>
    <w:rsid w:val="008D6B17"/>
    <w:rsid w:val="008E04DA"/>
    <w:rsid w:val="008E425A"/>
    <w:rsid w:val="008F2D09"/>
    <w:rsid w:val="008F4297"/>
    <w:rsid w:val="00903903"/>
    <w:rsid w:val="00905440"/>
    <w:rsid w:val="00913B60"/>
    <w:rsid w:val="00916B78"/>
    <w:rsid w:val="009229F1"/>
    <w:rsid w:val="00923F92"/>
    <w:rsid w:val="009277DD"/>
    <w:rsid w:val="0093695D"/>
    <w:rsid w:val="00937189"/>
    <w:rsid w:val="00943705"/>
    <w:rsid w:val="00943D44"/>
    <w:rsid w:val="00952A0B"/>
    <w:rsid w:val="00956A9B"/>
    <w:rsid w:val="00962462"/>
    <w:rsid w:val="009635BB"/>
    <w:rsid w:val="0098189A"/>
    <w:rsid w:val="009850C9"/>
    <w:rsid w:val="009A4C1A"/>
    <w:rsid w:val="009B5D53"/>
    <w:rsid w:val="009B6420"/>
    <w:rsid w:val="009D0337"/>
    <w:rsid w:val="009D25C6"/>
    <w:rsid w:val="009D261F"/>
    <w:rsid w:val="009D482A"/>
    <w:rsid w:val="009E6743"/>
    <w:rsid w:val="009F17E1"/>
    <w:rsid w:val="009F2168"/>
    <w:rsid w:val="009F45DA"/>
    <w:rsid w:val="00A0726F"/>
    <w:rsid w:val="00A26B0F"/>
    <w:rsid w:val="00A325B8"/>
    <w:rsid w:val="00A45027"/>
    <w:rsid w:val="00A51818"/>
    <w:rsid w:val="00A51CAB"/>
    <w:rsid w:val="00A55012"/>
    <w:rsid w:val="00A554F0"/>
    <w:rsid w:val="00A55E66"/>
    <w:rsid w:val="00A56309"/>
    <w:rsid w:val="00A57464"/>
    <w:rsid w:val="00A614DC"/>
    <w:rsid w:val="00A67FCB"/>
    <w:rsid w:val="00A71D26"/>
    <w:rsid w:val="00A732B4"/>
    <w:rsid w:val="00A750CA"/>
    <w:rsid w:val="00A75D8B"/>
    <w:rsid w:val="00A804A8"/>
    <w:rsid w:val="00A818C9"/>
    <w:rsid w:val="00A937E8"/>
    <w:rsid w:val="00A948A4"/>
    <w:rsid w:val="00A9521A"/>
    <w:rsid w:val="00AA6BB4"/>
    <w:rsid w:val="00AC3350"/>
    <w:rsid w:val="00AD66DF"/>
    <w:rsid w:val="00AE36E8"/>
    <w:rsid w:val="00AE5F81"/>
    <w:rsid w:val="00AF0B61"/>
    <w:rsid w:val="00B168E2"/>
    <w:rsid w:val="00B20E8C"/>
    <w:rsid w:val="00B20FFF"/>
    <w:rsid w:val="00B24C25"/>
    <w:rsid w:val="00B326D6"/>
    <w:rsid w:val="00B465CD"/>
    <w:rsid w:val="00B51DDA"/>
    <w:rsid w:val="00B52E87"/>
    <w:rsid w:val="00B5415E"/>
    <w:rsid w:val="00B60820"/>
    <w:rsid w:val="00B67D52"/>
    <w:rsid w:val="00B70314"/>
    <w:rsid w:val="00B73414"/>
    <w:rsid w:val="00B75630"/>
    <w:rsid w:val="00B92916"/>
    <w:rsid w:val="00BA07BB"/>
    <w:rsid w:val="00BA2E57"/>
    <w:rsid w:val="00BB73E6"/>
    <w:rsid w:val="00BC4F8E"/>
    <w:rsid w:val="00BC5D5D"/>
    <w:rsid w:val="00BD1901"/>
    <w:rsid w:val="00BD4367"/>
    <w:rsid w:val="00BE0095"/>
    <w:rsid w:val="00C029B7"/>
    <w:rsid w:val="00C26B20"/>
    <w:rsid w:val="00C27C03"/>
    <w:rsid w:val="00C31711"/>
    <w:rsid w:val="00C3181C"/>
    <w:rsid w:val="00C3416A"/>
    <w:rsid w:val="00C34D74"/>
    <w:rsid w:val="00C62CEF"/>
    <w:rsid w:val="00C648F9"/>
    <w:rsid w:val="00C72828"/>
    <w:rsid w:val="00C80F7B"/>
    <w:rsid w:val="00C8111A"/>
    <w:rsid w:val="00C913F5"/>
    <w:rsid w:val="00CA0F77"/>
    <w:rsid w:val="00CB1313"/>
    <w:rsid w:val="00CB53C1"/>
    <w:rsid w:val="00CD1B7D"/>
    <w:rsid w:val="00CD624B"/>
    <w:rsid w:val="00CD7762"/>
    <w:rsid w:val="00CE0F44"/>
    <w:rsid w:val="00CE1F0B"/>
    <w:rsid w:val="00CE345F"/>
    <w:rsid w:val="00CE734C"/>
    <w:rsid w:val="00D018DE"/>
    <w:rsid w:val="00D01CC2"/>
    <w:rsid w:val="00D05F9F"/>
    <w:rsid w:val="00D107D5"/>
    <w:rsid w:val="00D12507"/>
    <w:rsid w:val="00D15510"/>
    <w:rsid w:val="00D20676"/>
    <w:rsid w:val="00D23D39"/>
    <w:rsid w:val="00D25FB4"/>
    <w:rsid w:val="00D2635B"/>
    <w:rsid w:val="00D31E8D"/>
    <w:rsid w:val="00D33F24"/>
    <w:rsid w:val="00D376F8"/>
    <w:rsid w:val="00D41D6D"/>
    <w:rsid w:val="00D6181F"/>
    <w:rsid w:val="00D61CD0"/>
    <w:rsid w:val="00D70712"/>
    <w:rsid w:val="00D70C9B"/>
    <w:rsid w:val="00D726CA"/>
    <w:rsid w:val="00D806AF"/>
    <w:rsid w:val="00D91509"/>
    <w:rsid w:val="00D94A2B"/>
    <w:rsid w:val="00DB1D31"/>
    <w:rsid w:val="00DB2E6C"/>
    <w:rsid w:val="00DB5A96"/>
    <w:rsid w:val="00DD10B3"/>
    <w:rsid w:val="00DE3290"/>
    <w:rsid w:val="00DE3AC0"/>
    <w:rsid w:val="00DE3BCE"/>
    <w:rsid w:val="00DF1CF8"/>
    <w:rsid w:val="00E0004E"/>
    <w:rsid w:val="00E014D9"/>
    <w:rsid w:val="00E0220F"/>
    <w:rsid w:val="00E04B57"/>
    <w:rsid w:val="00E110E5"/>
    <w:rsid w:val="00E14569"/>
    <w:rsid w:val="00E25364"/>
    <w:rsid w:val="00E255A7"/>
    <w:rsid w:val="00E26113"/>
    <w:rsid w:val="00E2619A"/>
    <w:rsid w:val="00E400C1"/>
    <w:rsid w:val="00E41C11"/>
    <w:rsid w:val="00E4324D"/>
    <w:rsid w:val="00E47767"/>
    <w:rsid w:val="00E4778A"/>
    <w:rsid w:val="00E47DAE"/>
    <w:rsid w:val="00E543F4"/>
    <w:rsid w:val="00E743CD"/>
    <w:rsid w:val="00E76DAD"/>
    <w:rsid w:val="00E85E08"/>
    <w:rsid w:val="00E8641D"/>
    <w:rsid w:val="00E90BDA"/>
    <w:rsid w:val="00E96A04"/>
    <w:rsid w:val="00EA0C80"/>
    <w:rsid w:val="00EB2302"/>
    <w:rsid w:val="00EB2DAA"/>
    <w:rsid w:val="00EB2EB2"/>
    <w:rsid w:val="00EC2720"/>
    <w:rsid w:val="00ED7F53"/>
    <w:rsid w:val="00EE28F8"/>
    <w:rsid w:val="00EE5A42"/>
    <w:rsid w:val="00EF5DDC"/>
    <w:rsid w:val="00F02C43"/>
    <w:rsid w:val="00F04C0B"/>
    <w:rsid w:val="00F11105"/>
    <w:rsid w:val="00F12EFE"/>
    <w:rsid w:val="00F15951"/>
    <w:rsid w:val="00F31B54"/>
    <w:rsid w:val="00F35B87"/>
    <w:rsid w:val="00F41CFE"/>
    <w:rsid w:val="00F50973"/>
    <w:rsid w:val="00F52F3F"/>
    <w:rsid w:val="00F55AFF"/>
    <w:rsid w:val="00F61037"/>
    <w:rsid w:val="00F818D9"/>
    <w:rsid w:val="00F9195F"/>
    <w:rsid w:val="00F92CF6"/>
    <w:rsid w:val="00F9486C"/>
    <w:rsid w:val="00FA3DF3"/>
    <w:rsid w:val="00FB0008"/>
    <w:rsid w:val="00FB7690"/>
    <w:rsid w:val="00FC2BF0"/>
    <w:rsid w:val="00FD1D3A"/>
    <w:rsid w:val="00FE534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B7931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uiPriority w:val="99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character" w:styleId="Gl">
    <w:name w:val="Strong"/>
    <w:basedOn w:val="VarsaylanParagrafYazTipi"/>
    <w:uiPriority w:val="22"/>
    <w:qFormat/>
    <w:rsid w:val="00805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8C88-C6CE-4334-B264-902FB294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</cp:revision>
  <cp:lastPrinted>2018-07-16T05:48:00Z</cp:lastPrinted>
  <dcterms:created xsi:type="dcterms:W3CDTF">2018-07-16T06:21:00Z</dcterms:created>
  <dcterms:modified xsi:type="dcterms:W3CDTF">2018-07-16T06:55:00Z</dcterms:modified>
</cp:coreProperties>
</file>