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2A" w:rsidRDefault="00FD0DED" w:rsidP="003B1B2A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color w:val="EA001B"/>
          <w:sz w:val="28"/>
          <w:szCs w:val="28"/>
          <w:highlight w:val="yellow"/>
        </w:rPr>
      </w:pPr>
      <w:r>
        <w:rPr>
          <w:rFonts w:ascii="Arial" w:hAnsi="Arial"/>
          <w:b/>
          <w:noProof/>
          <w:sz w:val="28"/>
          <w:szCs w:val="28"/>
          <w:lang w:val="en-US"/>
        </w:rPr>
        <w:drawing>
          <wp:inline distT="0" distB="0" distL="0" distR="0" wp14:anchorId="00CFADD0" wp14:editId="3A4BBBEF">
            <wp:extent cx="1896110" cy="688975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1B2A" w:rsidRDefault="003B1B2A" w:rsidP="003B1B2A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color w:val="EA001B"/>
          <w:sz w:val="28"/>
          <w:szCs w:val="28"/>
          <w:highlight w:val="yellow"/>
        </w:rPr>
      </w:pPr>
    </w:p>
    <w:p w:rsidR="0034201E" w:rsidRPr="0034201E" w:rsidRDefault="0034201E" w:rsidP="0034201E">
      <w:pPr>
        <w:spacing w:after="0" w:line="240" w:lineRule="auto"/>
        <w:rPr>
          <w:rFonts w:ascii="Arial" w:eastAsia="Times New Roman" w:hAnsi="Arial" w:cs="Arial"/>
          <w:b/>
          <w:sz w:val="18"/>
          <w:szCs w:val="28"/>
        </w:rPr>
      </w:pPr>
      <w:r>
        <w:rPr>
          <w:rFonts w:ascii="Arial" w:hAnsi="Arial"/>
          <w:b/>
          <w:sz w:val="16"/>
          <w:szCs w:val="28"/>
        </w:rPr>
        <w:t xml:space="preserve">BASIN </w:t>
      </w:r>
      <w:r w:rsidR="003933DC">
        <w:rPr>
          <w:rFonts w:ascii="Arial" w:hAnsi="Arial"/>
          <w:b/>
          <w:sz w:val="16"/>
          <w:szCs w:val="28"/>
        </w:rPr>
        <w:t xml:space="preserve">BÜLTENİ – </w:t>
      </w:r>
      <w:r w:rsidR="0054302C">
        <w:rPr>
          <w:rFonts w:ascii="Arial" w:hAnsi="Arial"/>
          <w:b/>
          <w:sz w:val="16"/>
          <w:szCs w:val="28"/>
        </w:rPr>
        <w:t>31</w:t>
      </w:r>
      <w:r>
        <w:rPr>
          <w:rFonts w:ascii="Arial" w:hAnsi="Arial"/>
          <w:b/>
          <w:sz w:val="16"/>
          <w:szCs w:val="28"/>
        </w:rPr>
        <w:t xml:space="preserve"> Ocak 2018</w:t>
      </w:r>
    </w:p>
    <w:p w:rsidR="0034201E" w:rsidRPr="0034201E" w:rsidRDefault="0034201E" w:rsidP="0034201E">
      <w:pPr>
        <w:spacing w:after="0" w:line="240" w:lineRule="auto"/>
        <w:ind w:left="-284"/>
        <w:rPr>
          <w:rFonts w:ascii="Arial" w:eastAsia="Times New Roman" w:hAnsi="Arial" w:cs="Arial"/>
          <w:b/>
          <w:sz w:val="36"/>
          <w:szCs w:val="28"/>
        </w:rPr>
      </w:pPr>
    </w:p>
    <w:p w:rsidR="0054302C" w:rsidRDefault="003933DC" w:rsidP="0054302C">
      <w:pPr>
        <w:spacing w:after="0" w:line="240" w:lineRule="auto"/>
        <w:jc w:val="center"/>
        <w:outlineLvl w:val="0"/>
        <w:rPr>
          <w:rFonts w:ascii="Arial" w:hAnsi="Arial"/>
          <w:b/>
          <w:sz w:val="32"/>
          <w:szCs w:val="34"/>
        </w:rPr>
      </w:pPr>
      <w:r w:rsidRPr="00F97B4D">
        <w:rPr>
          <w:rFonts w:ascii="Arial" w:hAnsi="Arial"/>
          <w:b/>
          <w:sz w:val="32"/>
          <w:szCs w:val="34"/>
        </w:rPr>
        <w:t>RENAULT</w:t>
      </w:r>
      <w:r w:rsidR="00AE7053" w:rsidRPr="00F97B4D">
        <w:rPr>
          <w:rFonts w:ascii="Arial" w:hAnsi="Arial"/>
          <w:b/>
          <w:sz w:val="32"/>
          <w:szCs w:val="34"/>
        </w:rPr>
        <w:t xml:space="preserve"> NISSAN </w:t>
      </w:r>
      <w:r w:rsidR="0034201E" w:rsidRPr="00F97B4D">
        <w:rPr>
          <w:rFonts w:ascii="Arial" w:hAnsi="Arial"/>
          <w:b/>
          <w:sz w:val="32"/>
          <w:szCs w:val="34"/>
        </w:rPr>
        <w:t xml:space="preserve">MITSUBISHI </w:t>
      </w:r>
      <w:r w:rsidR="0054302C">
        <w:rPr>
          <w:rFonts w:ascii="Arial" w:hAnsi="Arial"/>
          <w:b/>
          <w:sz w:val="32"/>
          <w:szCs w:val="34"/>
        </w:rPr>
        <w:t>2017’DE</w:t>
      </w:r>
    </w:p>
    <w:p w:rsidR="0034201E" w:rsidRPr="00F97B4D" w:rsidRDefault="0034201E" w:rsidP="0054302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4"/>
        </w:rPr>
      </w:pPr>
      <w:r w:rsidRPr="00F97B4D">
        <w:rPr>
          <w:rFonts w:ascii="Arial" w:hAnsi="Arial"/>
          <w:b/>
          <w:sz w:val="32"/>
          <w:szCs w:val="34"/>
        </w:rPr>
        <w:t>10,6 MİLYON SATIŞ RAKAMINA ULAŞTI</w:t>
      </w:r>
    </w:p>
    <w:p w:rsidR="0034201E" w:rsidRPr="0034201E" w:rsidRDefault="0034201E" w:rsidP="00E712D2">
      <w:pPr>
        <w:spacing w:after="0" w:line="240" w:lineRule="auto"/>
        <w:ind w:left="-284"/>
        <w:contextualSpacing/>
        <w:jc w:val="both"/>
        <w:rPr>
          <w:rFonts w:ascii="Arial" w:eastAsia="MS Mincho" w:hAnsi="Arial" w:cs="Arial"/>
          <w:iCs/>
          <w:lang w:val="en" w:eastAsia="ja-JP"/>
        </w:rPr>
      </w:pPr>
    </w:p>
    <w:p w:rsidR="0034201E" w:rsidRPr="0034201E" w:rsidRDefault="0034201E" w:rsidP="00E712D2">
      <w:pPr>
        <w:numPr>
          <w:ilvl w:val="0"/>
          <w:numId w:val="8"/>
        </w:numPr>
        <w:spacing w:before="60" w:after="60" w:line="240" w:lineRule="auto"/>
        <w:jc w:val="both"/>
        <w:rPr>
          <w:rFonts w:ascii="Arial" w:eastAsia="MS Mincho" w:hAnsi="Arial" w:cs="Arial"/>
          <w:b/>
          <w:iCs/>
        </w:rPr>
      </w:pPr>
      <w:r>
        <w:rPr>
          <w:rFonts w:ascii="Arial" w:hAnsi="Arial"/>
          <w:b/>
          <w:iCs/>
        </w:rPr>
        <w:t xml:space="preserve">Renault, Nissan ve Mitsubishi </w:t>
      </w:r>
      <w:proofErr w:type="spellStart"/>
      <w:r>
        <w:rPr>
          <w:rFonts w:ascii="Arial" w:hAnsi="Arial"/>
          <w:b/>
          <w:iCs/>
        </w:rPr>
        <w:t>Motors</w:t>
      </w:r>
      <w:r w:rsidR="007C5A49">
        <w:rPr>
          <w:rFonts w:ascii="Arial" w:hAnsi="Arial"/>
          <w:b/>
          <w:iCs/>
        </w:rPr>
        <w:t>’un</w:t>
      </w:r>
      <w:proofErr w:type="spellEnd"/>
      <w:r w:rsidR="0054302C">
        <w:rPr>
          <w:rFonts w:ascii="Arial" w:hAnsi="Arial"/>
          <w:b/>
          <w:iCs/>
        </w:rPr>
        <w:t xml:space="preserve"> toplam satışları 2017 yılında, bir önceki yıla göre </w:t>
      </w:r>
      <w:r w:rsidR="007C5A49">
        <w:rPr>
          <w:rFonts w:ascii="Arial" w:hAnsi="Arial"/>
          <w:b/>
          <w:iCs/>
        </w:rPr>
        <w:t xml:space="preserve">yüzde 6,5 artarak 10 milyon 608 bin </w:t>
      </w:r>
      <w:r>
        <w:rPr>
          <w:rFonts w:ascii="Arial" w:hAnsi="Arial"/>
          <w:b/>
          <w:iCs/>
        </w:rPr>
        <w:t>366 adede ulaştı. Bu raka</w:t>
      </w:r>
      <w:r w:rsidR="002800D6">
        <w:rPr>
          <w:rFonts w:ascii="Arial" w:hAnsi="Arial"/>
          <w:b/>
          <w:iCs/>
        </w:rPr>
        <w:t xml:space="preserve">m, dünya çapında </w:t>
      </w:r>
      <w:r>
        <w:rPr>
          <w:rFonts w:ascii="Arial" w:hAnsi="Arial"/>
          <w:b/>
          <w:iCs/>
        </w:rPr>
        <w:t>binek otomobil ve hafif ticari araç</w:t>
      </w:r>
      <w:r w:rsidR="002800D6">
        <w:rPr>
          <w:rFonts w:ascii="Arial" w:hAnsi="Arial"/>
          <w:b/>
          <w:iCs/>
        </w:rPr>
        <w:t xml:space="preserve"> pazarında satılan her dokuz araçtan birinin</w:t>
      </w:r>
      <w:r w:rsidR="0054302C">
        <w:rPr>
          <w:rFonts w:ascii="Arial" w:hAnsi="Arial"/>
          <w:b/>
          <w:iCs/>
        </w:rPr>
        <w:t xml:space="preserve"> Renault, Nissan ve Mitsubishi </w:t>
      </w:r>
      <w:proofErr w:type="spellStart"/>
      <w:r w:rsidR="0054302C">
        <w:rPr>
          <w:rFonts w:ascii="Arial" w:hAnsi="Arial"/>
          <w:b/>
          <w:iCs/>
        </w:rPr>
        <w:t>İ</w:t>
      </w:r>
      <w:r w:rsidR="002800D6">
        <w:rPr>
          <w:rFonts w:ascii="Arial" w:hAnsi="Arial"/>
          <w:b/>
          <w:iCs/>
        </w:rPr>
        <w:t>ttifakın</w:t>
      </w:r>
      <w:r w:rsidR="0054302C">
        <w:rPr>
          <w:rFonts w:ascii="Arial" w:hAnsi="Arial"/>
          <w:b/>
          <w:iCs/>
        </w:rPr>
        <w:t>’a</w:t>
      </w:r>
      <w:proofErr w:type="spellEnd"/>
      <w:r w:rsidR="0054302C">
        <w:rPr>
          <w:rFonts w:ascii="Arial" w:hAnsi="Arial"/>
          <w:b/>
          <w:iCs/>
        </w:rPr>
        <w:t xml:space="preserve"> ait </w:t>
      </w:r>
      <w:r w:rsidR="002800D6">
        <w:rPr>
          <w:rFonts w:ascii="Arial" w:hAnsi="Arial"/>
          <w:b/>
          <w:iCs/>
        </w:rPr>
        <w:t>olduğu</w:t>
      </w:r>
      <w:r w:rsidR="0054302C">
        <w:rPr>
          <w:rFonts w:ascii="Arial" w:hAnsi="Arial"/>
          <w:b/>
          <w:iCs/>
        </w:rPr>
        <w:t>nu ifade ediyor</w:t>
      </w:r>
      <w:r w:rsidR="002800D6">
        <w:rPr>
          <w:rFonts w:ascii="Arial" w:hAnsi="Arial"/>
          <w:b/>
          <w:iCs/>
        </w:rPr>
        <w:t>.</w:t>
      </w:r>
    </w:p>
    <w:p w:rsidR="0034201E" w:rsidRPr="0034201E" w:rsidRDefault="002E347F" w:rsidP="00E712D2">
      <w:pPr>
        <w:numPr>
          <w:ilvl w:val="0"/>
          <w:numId w:val="8"/>
        </w:numPr>
        <w:spacing w:before="60" w:after="6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hAnsi="Arial"/>
          <w:b/>
        </w:rPr>
        <w:t>İtt</w:t>
      </w:r>
      <w:r w:rsidR="00834DA5">
        <w:rPr>
          <w:rFonts w:ascii="Arial" w:hAnsi="Arial"/>
          <w:b/>
        </w:rPr>
        <w:t xml:space="preserve">ifak, </w:t>
      </w:r>
      <w:r>
        <w:rPr>
          <w:rFonts w:ascii="Arial" w:hAnsi="Arial"/>
          <w:b/>
        </w:rPr>
        <w:t>2010 yılından</w:t>
      </w:r>
      <w:r w:rsidR="0056272A">
        <w:rPr>
          <w:rFonts w:ascii="Arial" w:hAnsi="Arial"/>
          <w:b/>
        </w:rPr>
        <w:t xml:space="preserve"> bu yana </w:t>
      </w:r>
      <w:r>
        <w:rPr>
          <w:rFonts w:ascii="Arial" w:hAnsi="Arial"/>
          <w:b/>
        </w:rPr>
        <w:t xml:space="preserve">gerçekleştirdiği </w:t>
      </w:r>
      <w:r w:rsidR="0056272A">
        <w:rPr>
          <w:rFonts w:ascii="Arial" w:hAnsi="Arial"/>
          <w:b/>
        </w:rPr>
        <w:t xml:space="preserve">540 bin </w:t>
      </w:r>
      <w:r w:rsidR="0034201E">
        <w:rPr>
          <w:rFonts w:ascii="Arial" w:hAnsi="Arial"/>
          <w:b/>
        </w:rPr>
        <w:t xml:space="preserve">623 </w:t>
      </w:r>
      <w:r>
        <w:rPr>
          <w:rFonts w:ascii="Arial" w:hAnsi="Arial"/>
          <w:b/>
        </w:rPr>
        <w:t>satış adedi</w:t>
      </w:r>
      <w:r w:rsidR="0034201E">
        <w:rPr>
          <w:rFonts w:ascii="Arial" w:hAnsi="Arial"/>
          <w:b/>
        </w:rPr>
        <w:t xml:space="preserve"> </w:t>
      </w:r>
      <w:r w:rsidR="00834DA5">
        <w:rPr>
          <w:rFonts w:ascii="Arial" w:hAnsi="Arial"/>
          <w:b/>
        </w:rPr>
        <w:t>ile elektrikli araç pazarındaki</w:t>
      </w:r>
      <w:r w:rsidR="0056272A">
        <w:rPr>
          <w:rFonts w:ascii="Arial" w:hAnsi="Arial"/>
          <w:b/>
        </w:rPr>
        <w:t xml:space="preserve"> liderliğini sürdürdü.</w:t>
      </w:r>
    </w:p>
    <w:p w:rsidR="0034201E" w:rsidRPr="0034201E" w:rsidRDefault="0034201E" w:rsidP="00E712D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4201E" w:rsidRPr="0034201E" w:rsidRDefault="0034201E" w:rsidP="00E712D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Dünya</w:t>
      </w:r>
      <w:r w:rsidR="004141D9">
        <w:rPr>
          <w:rFonts w:ascii="Arial" w:hAnsi="Arial"/>
        </w:rPr>
        <w:t>nın</w:t>
      </w:r>
      <w:r>
        <w:rPr>
          <w:rFonts w:ascii="Arial" w:hAnsi="Arial"/>
        </w:rPr>
        <w:t xml:space="preserve"> </w:t>
      </w:r>
      <w:r w:rsidR="0054302C">
        <w:rPr>
          <w:rFonts w:ascii="Arial" w:hAnsi="Arial"/>
        </w:rPr>
        <w:t>lider otomobil i</w:t>
      </w:r>
      <w:r w:rsidR="004141D9">
        <w:rPr>
          <w:rFonts w:ascii="Arial" w:hAnsi="Arial"/>
        </w:rPr>
        <w:t>ttifakı</w:t>
      </w:r>
      <w:r>
        <w:rPr>
          <w:rFonts w:ascii="Arial" w:hAnsi="Arial"/>
        </w:rPr>
        <w:t xml:space="preserve"> Ren</w:t>
      </w:r>
      <w:r w:rsidR="00D925C0">
        <w:rPr>
          <w:rFonts w:ascii="Arial" w:hAnsi="Arial"/>
        </w:rPr>
        <w:t xml:space="preserve">ault-Nissan-Mitsubishi, 2017 yılında </w:t>
      </w:r>
      <w:r w:rsidR="0054302C">
        <w:rPr>
          <w:rFonts w:ascii="Arial" w:hAnsi="Arial"/>
        </w:rPr>
        <w:t xml:space="preserve">dünyada </w:t>
      </w:r>
      <w:r w:rsidR="00D925C0">
        <w:rPr>
          <w:rFonts w:ascii="Arial" w:hAnsi="Arial"/>
        </w:rPr>
        <w:t xml:space="preserve">10 milyon 608 bin </w:t>
      </w:r>
      <w:r>
        <w:rPr>
          <w:rFonts w:ascii="Arial" w:hAnsi="Arial"/>
        </w:rPr>
        <w:t xml:space="preserve">366 </w:t>
      </w:r>
      <w:r w:rsidR="00DE5EE5">
        <w:rPr>
          <w:rFonts w:ascii="Arial" w:hAnsi="Arial"/>
        </w:rPr>
        <w:t>satış adedi</w:t>
      </w:r>
      <w:r w:rsidR="0054302C">
        <w:rPr>
          <w:rFonts w:ascii="Arial" w:hAnsi="Arial"/>
        </w:rPr>
        <w:t xml:space="preserve"> gerçekleştirdi.</w:t>
      </w:r>
    </w:p>
    <w:p w:rsidR="0034201E" w:rsidRPr="0034201E" w:rsidRDefault="0034201E" w:rsidP="00E712D2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34201E" w:rsidRPr="0034201E" w:rsidRDefault="002E5144" w:rsidP="00E712D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SUV</w:t>
      </w:r>
      <w:r w:rsidR="0054302C">
        <w:rPr>
          <w:rFonts w:ascii="Arial" w:hAnsi="Arial"/>
        </w:rPr>
        <w:t>, hafif ticari araç</w:t>
      </w:r>
      <w:r w:rsidR="0034201E">
        <w:rPr>
          <w:rFonts w:ascii="Arial" w:hAnsi="Arial"/>
        </w:rPr>
        <w:t xml:space="preserve"> </w:t>
      </w:r>
      <w:r w:rsidR="0054302C">
        <w:rPr>
          <w:rFonts w:ascii="Arial" w:hAnsi="Arial"/>
        </w:rPr>
        <w:t>ve elektrikli araçlara ilgideki artış</w:t>
      </w:r>
      <w:r w:rsidR="004141D9">
        <w:rPr>
          <w:rFonts w:ascii="Arial" w:hAnsi="Arial"/>
        </w:rPr>
        <w:t xml:space="preserve">, </w:t>
      </w:r>
      <w:r w:rsidR="0034201E">
        <w:rPr>
          <w:rFonts w:ascii="Arial" w:hAnsi="Arial"/>
        </w:rPr>
        <w:t>Mitsubish</w:t>
      </w:r>
      <w:r w:rsidR="00E34AD6">
        <w:rPr>
          <w:rFonts w:ascii="Arial" w:hAnsi="Arial"/>
        </w:rPr>
        <w:t xml:space="preserve">i </w:t>
      </w:r>
      <w:proofErr w:type="spellStart"/>
      <w:r w:rsidR="00E34AD6">
        <w:rPr>
          <w:rFonts w:ascii="Arial" w:hAnsi="Arial"/>
        </w:rPr>
        <w:t>Motors’un</w:t>
      </w:r>
      <w:proofErr w:type="spellEnd"/>
      <w:r w:rsidR="00114D99">
        <w:rPr>
          <w:rFonts w:ascii="Arial" w:hAnsi="Arial"/>
        </w:rPr>
        <w:t xml:space="preserve"> </w:t>
      </w:r>
      <w:r w:rsidR="004141D9">
        <w:rPr>
          <w:rFonts w:ascii="Arial" w:hAnsi="Arial"/>
        </w:rPr>
        <w:t>ittifaktaki</w:t>
      </w:r>
      <w:r w:rsidR="0034201E">
        <w:rPr>
          <w:rFonts w:ascii="Arial" w:hAnsi="Arial"/>
        </w:rPr>
        <w:t xml:space="preserve"> il</w:t>
      </w:r>
      <w:r w:rsidR="006936C8">
        <w:rPr>
          <w:rFonts w:ascii="Arial" w:hAnsi="Arial"/>
        </w:rPr>
        <w:t xml:space="preserve">k </w:t>
      </w:r>
      <w:r w:rsidR="004141D9">
        <w:rPr>
          <w:rFonts w:ascii="Arial" w:hAnsi="Arial"/>
        </w:rPr>
        <w:t>tam yılı olan 2017’de</w:t>
      </w:r>
      <w:r w:rsidR="00E34AD6">
        <w:rPr>
          <w:rFonts w:ascii="Arial" w:hAnsi="Arial"/>
        </w:rPr>
        <w:t>,</w:t>
      </w:r>
      <w:r w:rsidR="004141D9">
        <w:rPr>
          <w:rFonts w:ascii="Arial" w:hAnsi="Arial"/>
        </w:rPr>
        <w:t xml:space="preserve"> satışlarda gerçekleşen</w:t>
      </w:r>
      <w:r w:rsidR="006936C8">
        <w:rPr>
          <w:rFonts w:ascii="Arial" w:hAnsi="Arial"/>
        </w:rPr>
        <w:t xml:space="preserve"> </w:t>
      </w:r>
      <w:r w:rsidR="0034201E">
        <w:rPr>
          <w:rFonts w:ascii="Arial" w:hAnsi="Arial"/>
        </w:rPr>
        <w:t>y</w:t>
      </w:r>
      <w:r w:rsidR="006936C8">
        <w:rPr>
          <w:rFonts w:ascii="Arial" w:hAnsi="Arial"/>
        </w:rPr>
        <w:t>üzde 6,5’lik artışı destekleyen faktörler oldu</w:t>
      </w:r>
      <w:r w:rsidR="0034201E">
        <w:rPr>
          <w:rFonts w:ascii="Arial" w:hAnsi="Arial"/>
        </w:rPr>
        <w:t xml:space="preserve">.  </w:t>
      </w:r>
    </w:p>
    <w:p w:rsidR="0034201E" w:rsidRPr="0034201E" w:rsidRDefault="0034201E" w:rsidP="00E712D2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34201E" w:rsidRPr="0034201E" w:rsidRDefault="000E450C" w:rsidP="00E712D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Renault-Nissan-Mitsubishi</w:t>
      </w:r>
      <w:r w:rsidR="0034201E">
        <w:rPr>
          <w:rFonts w:ascii="Arial" w:hAnsi="Arial"/>
        </w:rPr>
        <w:t xml:space="preserve"> başkan ve CEO’</w:t>
      </w:r>
      <w:r w:rsidR="0025292E">
        <w:rPr>
          <w:rFonts w:ascii="Arial" w:hAnsi="Arial"/>
        </w:rPr>
        <w:t xml:space="preserve">su Carlos </w:t>
      </w:r>
      <w:proofErr w:type="spellStart"/>
      <w:r w:rsidR="0025292E">
        <w:rPr>
          <w:rFonts w:ascii="Arial" w:hAnsi="Arial"/>
        </w:rPr>
        <w:t>Ghosn</w:t>
      </w:r>
      <w:proofErr w:type="spellEnd"/>
      <w:r w:rsidR="0025292E">
        <w:rPr>
          <w:rFonts w:ascii="Arial" w:hAnsi="Arial"/>
        </w:rPr>
        <w:t xml:space="preserve"> </w:t>
      </w:r>
      <w:r w:rsidR="0034201E">
        <w:rPr>
          <w:rFonts w:ascii="Arial" w:hAnsi="Arial"/>
        </w:rPr>
        <w:t>“</w:t>
      </w:r>
      <w:r w:rsidR="0034201E" w:rsidRPr="0025292E">
        <w:rPr>
          <w:rFonts w:ascii="Arial" w:hAnsi="Arial"/>
          <w:i/>
        </w:rPr>
        <w:t xml:space="preserve">2017’de gerçekleştirdiği 10,6 milyonun üzerindeki binek otomobil ve hafif ticari araç satışıyla, </w:t>
      </w:r>
      <w:r w:rsidR="00D632B5">
        <w:rPr>
          <w:rFonts w:ascii="Arial" w:hAnsi="Arial"/>
          <w:i/>
        </w:rPr>
        <w:t xml:space="preserve">Renault-Nissan-Mitsubishi dünyanın en büyük </w:t>
      </w:r>
      <w:proofErr w:type="gramStart"/>
      <w:r w:rsidR="00D632B5">
        <w:rPr>
          <w:rFonts w:ascii="Arial" w:hAnsi="Arial"/>
          <w:i/>
        </w:rPr>
        <w:t>global</w:t>
      </w:r>
      <w:proofErr w:type="gramEnd"/>
      <w:r w:rsidR="00D632B5">
        <w:rPr>
          <w:rFonts w:ascii="Arial" w:hAnsi="Arial"/>
          <w:i/>
        </w:rPr>
        <w:t xml:space="preserve"> otomobil</w:t>
      </w:r>
      <w:r w:rsidR="0034201E" w:rsidRPr="0025292E">
        <w:rPr>
          <w:rFonts w:ascii="Arial" w:hAnsi="Arial"/>
          <w:i/>
        </w:rPr>
        <w:t xml:space="preserve"> grubu haline geldi. </w:t>
      </w:r>
      <w:r w:rsidR="0025292E" w:rsidRPr="0025292E">
        <w:rPr>
          <w:rFonts w:ascii="Arial" w:hAnsi="Arial"/>
          <w:i/>
        </w:rPr>
        <w:t>Bu gelişim, ürün gamımızın</w:t>
      </w:r>
      <w:r w:rsidR="0034201E" w:rsidRPr="0025292E">
        <w:rPr>
          <w:rFonts w:ascii="Arial" w:hAnsi="Arial"/>
          <w:i/>
        </w:rPr>
        <w:t xml:space="preserve"> </w:t>
      </w:r>
      <w:r w:rsidR="00D632B5">
        <w:rPr>
          <w:rFonts w:ascii="Arial" w:hAnsi="Arial"/>
          <w:i/>
        </w:rPr>
        <w:t>zenginlik</w:t>
      </w:r>
      <w:r w:rsidR="00143FF5">
        <w:rPr>
          <w:rFonts w:ascii="Arial" w:hAnsi="Arial"/>
          <w:i/>
        </w:rPr>
        <w:t xml:space="preserve"> ve </w:t>
      </w:r>
      <w:r w:rsidR="00D632B5">
        <w:rPr>
          <w:rFonts w:ascii="Arial" w:hAnsi="Arial"/>
          <w:i/>
        </w:rPr>
        <w:t>içeriğinin</w:t>
      </w:r>
      <w:r w:rsidR="00143FF5">
        <w:rPr>
          <w:rFonts w:ascii="Arial" w:hAnsi="Arial"/>
          <w:i/>
        </w:rPr>
        <w:t>, küresel</w:t>
      </w:r>
      <w:r w:rsidR="0034201E" w:rsidRPr="0025292E">
        <w:rPr>
          <w:rFonts w:ascii="Arial" w:hAnsi="Arial"/>
          <w:i/>
        </w:rPr>
        <w:t xml:space="preserve"> pazardaki konumumuzun ve araç teknolojilerimizin müşterilerde yarattığı etkinin bir yansımasıdır</w:t>
      </w:r>
      <w:r w:rsidR="0034201E">
        <w:rPr>
          <w:rFonts w:ascii="Arial" w:hAnsi="Arial"/>
        </w:rPr>
        <w:t xml:space="preserve">.” </w:t>
      </w:r>
      <w:r w:rsidR="0025292E">
        <w:rPr>
          <w:rFonts w:ascii="Arial" w:hAnsi="Arial"/>
        </w:rPr>
        <w:t>dedi.</w:t>
      </w:r>
    </w:p>
    <w:p w:rsidR="0034201E" w:rsidRPr="0034201E" w:rsidRDefault="0034201E" w:rsidP="00E712D2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34201E" w:rsidRPr="0034201E" w:rsidRDefault="00A57C4A" w:rsidP="00E712D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2017 yılında İttifak</w:t>
      </w:r>
      <w:r w:rsidR="00D632B5">
        <w:rPr>
          <w:rFonts w:ascii="Arial" w:hAnsi="Arial"/>
        </w:rPr>
        <w:t xml:space="preserve"> üyeleri, on</w:t>
      </w:r>
      <w:r w:rsidR="00A87C37">
        <w:rPr>
          <w:rFonts w:ascii="Arial" w:hAnsi="Arial"/>
        </w:rPr>
        <w:t xml:space="preserve"> adet marka altında olmak ü</w:t>
      </w:r>
      <w:r w:rsidR="00D632B5">
        <w:rPr>
          <w:rFonts w:ascii="Arial" w:hAnsi="Arial"/>
        </w:rPr>
        <w:t>zere yaklaşık 200 ülkede satış gerçekleştirdi</w:t>
      </w:r>
      <w:r w:rsidR="00A87C37">
        <w:rPr>
          <w:rFonts w:ascii="Arial" w:hAnsi="Arial"/>
        </w:rPr>
        <w:t xml:space="preserve">. </w:t>
      </w:r>
      <w:r w:rsidR="0034201E">
        <w:rPr>
          <w:rFonts w:ascii="Arial" w:hAnsi="Arial"/>
        </w:rPr>
        <w:t xml:space="preserve">(Renault, Nissan, Mitsubishi </w:t>
      </w:r>
      <w:proofErr w:type="spellStart"/>
      <w:r w:rsidR="0034201E">
        <w:rPr>
          <w:rFonts w:ascii="Arial" w:hAnsi="Arial"/>
        </w:rPr>
        <w:t>Motors</w:t>
      </w:r>
      <w:proofErr w:type="spellEnd"/>
      <w:r w:rsidR="0034201E">
        <w:rPr>
          <w:rFonts w:ascii="Arial" w:hAnsi="Arial"/>
        </w:rPr>
        <w:t xml:space="preserve">, Dacia, Renault </w:t>
      </w:r>
      <w:proofErr w:type="spellStart"/>
      <w:r w:rsidR="0034201E">
        <w:rPr>
          <w:rFonts w:ascii="Arial" w:hAnsi="Arial"/>
        </w:rPr>
        <w:t>Samsung</w:t>
      </w:r>
      <w:proofErr w:type="spellEnd"/>
      <w:r w:rsidR="0034201E">
        <w:rPr>
          <w:rFonts w:ascii="Arial" w:hAnsi="Arial"/>
        </w:rPr>
        <w:t xml:space="preserve"> </w:t>
      </w:r>
      <w:proofErr w:type="spellStart"/>
      <w:r w:rsidR="0034201E">
        <w:rPr>
          <w:rFonts w:ascii="Arial" w:hAnsi="Arial"/>
        </w:rPr>
        <w:t>Motors</w:t>
      </w:r>
      <w:proofErr w:type="spellEnd"/>
      <w:r w:rsidR="0034201E">
        <w:rPr>
          <w:rFonts w:ascii="Arial" w:hAnsi="Arial"/>
        </w:rPr>
        <w:t xml:space="preserve">, </w:t>
      </w:r>
      <w:proofErr w:type="spellStart"/>
      <w:r w:rsidR="0034201E">
        <w:rPr>
          <w:rFonts w:ascii="Arial" w:hAnsi="Arial"/>
        </w:rPr>
        <w:t>Alpine</w:t>
      </w:r>
      <w:proofErr w:type="spellEnd"/>
      <w:r w:rsidR="0034201E">
        <w:rPr>
          <w:rFonts w:ascii="Arial" w:hAnsi="Arial"/>
        </w:rPr>
        <w:t xml:space="preserve">, Lada, </w:t>
      </w:r>
      <w:proofErr w:type="spellStart"/>
      <w:r w:rsidR="0034201E">
        <w:rPr>
          <w:rFonts w:ascii="Arial" w:hAnsi="Arial"/>
        </w:rPr>
        <w:t>Infiniti</w:t>
      </w:r>
      <w:proofErr w:type="spellEnd"/>
      <w:r w:rsidR="0034201E">
        <w:rPr>
          <w:rFonts w:ascii="Arial" w:hAnsi="Arial"/>
        </w:rPr>
        <w:t xml:space="preserve">, </w:t>
      </w:r>
      <w:proofErr w:type="spellStart"/>
      <w:r w:rsidR="0034201E">
        <w:rPr>
          <w:rFonts w:ascii="Arial" w:hAnsi="Arial"/>
        </w:rPr>
        <w:t>V</w:t>
      </w:r>
      <w:r w:rsidR="00A87C37">
        <w:rPr>
          <w:rFonts w:ascii="Arial" w:hAnsi="Arial"/>
        </w:rPr>
        <w:t>enucia</w:t>
      </w:r>
      <w:proofErr w:type="spellEnd"/>
      <w:r w:rsidR="00A87C37">
        <w:rPr>
          <w:rFonts w:ascii="Arial" w:hAnsi="Arial"/>
        </w:rPr>
        <w:t xml:space="preserve"> ve </w:t>
      </w:r>
      <w:proofErr w:type="spellStart"/>
      <w:r w:rsidR="00A87C37">
        <w:rPr>
          <w:rFonts w:ascii="Arial" w:hAnsi="Arial"/>
        </w:rPr>
        <w:t>Datsun</w:t>
      </w:r>
      <w:proofErr w:type="spellEnd"/>
      <w:r w:rsidR="00A87C37">
        <w:rPr>
          <w:rFonts w:ascii="Arial" w:hAnsi="Arial"/>
        </w:rPr>
        <w:t>)</w:t>
      </w:r>
    </w:p>
    <w:p w:rsidR="0034201E" w:rsidRPr="0034201E" w:rsidRDefault="0034201E" w:rsidP="00E712D2">
      <w:pPr>
        <w:spacing w:after="0" w:line="240" w:lineRule="auto"/>
        <w:jc w:val="both"/>
        <w:rPr>
          <w:rFonts w:ascii="Arial" w:eastAsia="Times New Roman" w:hAnsi="Arial" w:cs="Arial"/>
          <w:color w:val="00446F"/>
          <w:lang w:val="en-GB"/>
        </w:rPr>
      </w:pPr>
    </w:p>
    <w:p w:rsidR="0034201E" w:rsidRPr="0034201E" w:rsidRDefault="00652116" w:rsidP="00E712D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Renault Grubu’</w:t>
      </w:r>
      <w:r>
        <w:rPr>
          <w:rFonts w:ascii="Arial" w:hAnsi="Arial"/>
          <w:bCs/>
        </w:rPr>
        <w:t>nun</w:t>
      </w:r>
      <w:r w:rsidR="0034201E">
        <w:rPr>
          <w:rFonts w:ascii="Arial" w:hAnsi="Arial"/>
        </w:rPr>
        <w:t xml:space="preserve"> satışları 2017 yılın</w:t>
      </w:r>
      <w:r>
        <w:rPr>
          <w:rFonts w:ascii="Arial" w:hAnsi="Arial"/>
        </w:rPr>
        <w:t>da yüzde 8,5 artış göstererek 3 milyon 761 bin 634 adede</w:t>
      </w:r>
      <w:r w:rsidR="006B0BFE">
        <w:rPr>
          <w:rFonts w:ascii="Arial" w:hAnsi="Arial"/>
        </w:rPr>
        <w:t xml:space="preserve"> ulaştı. 2017</w:t>
      </w:r>
      <w:r w:rsidR="00942B58">
        <w:rPr>
          <w:rFonts w:ascii="Arial" w:hAnsi="Arial"/>
        </w:rPr>
        <w:t xml:space="preserve"> yılı</w:t>
      </w:r>
      <w:r w:rsidR="006B0BFE">
        <w:rPr>
          <w:rFonts w:ascii="Arial" w:hAnsi="Arial"/>
        </w:rPr>
        <w:t xml:space="preserve">, </w:t>
      </w:r>
      <w:r w:rsidR="0034201E">
        <w:rPr>
          <w:rFonts w:ascii="Arial" w:hAnsi="Arial"/>
        </w:rPr>
        <w:t>dünya</w:t>
      </w:r>
      <w:r w:rsidR="00D632B5">
        <w:rPr>
          <w:rFonts w:ascii="Arial" w:hAnsi="Arial"/>
        </w:rPr>
        <w:t>nın Fransız otomobil lideri</w:t>
      </w:r>
      <w:r w:rsidR="0034201E">
        <w:rPr>
          <w:rFonts w:ascii="Arial" w:hAnsi="Arial"/>
        </w:rPr>
        <w:t xml:space="preserve"> ve Avrupa’nın iki numaralı markası </w:t>
      </w:r>
      <w:proofErr w:type="spellStart"/>
      <w:r w:rsidR="0034201E">
        <w:rPr>
          <w:rFonts w:ascii="Arial" w:hAnsi="Arial"/>
        </w:rPr>
        <w:t>Renault’n</w:t>
      </w:r>
      <w:r w:rsidR="0073106B">
        <w:rPr>
          <w:rFonts w:ascii="Arial" w:hAnsi="Arial"/>
        </w:rPr>
        <w:t>un</w:t>
      </w:r>
      <w:proofErr w:type="spellEnd"/>
      <w:r w:rsidR="0073106B">
        <w:rPr>
          <w:rFonts w:ascii="Arial" w:hAnsi="Arial"/>
        </w:rPr>
        <w:t xml:space="preserve"> yanı sıra, Dacia için de </w:t>
      </w:r>
      <w:r w:rsidR="0034201E">
        <w:rPr>
          <w:rFonts w:ascii="Arial" w:hAnsi="Arial"/>
        </w:rPr>
        <w:t>rekor</w:t>
      </w:r>
      <w:r w:rsidR="0073106B">
        <w:rPr>
          <w:rFonts w:ascii="Arial" w:hAnsi="Arial"/>
        </w:rPr>
        <w:t xml:space="preserve"> bir</w:t>
      </w:r>
      <w:r w:rsidR="00A6778C">
        <w:rPr>
          <w:rFonts w:ascii="Arial" w:hAnsi="Arial"/>
        </w:rPr>
        <w:t xml:space="preserve"> yıl</w:t>
      </w:r>
      <w:r w:rsidR="0034201E">
        <w:rPr>
          <w:rFonts w:ascii="Arial" w:hAnsi="Arial"/>
        </w:rPr>
        <w:t xml:space="preserve"> oldu. Renault</w:t>
      </w:r>
      <w:r w:rsidR="00741F59">
        <w:rPr>
          <w:rFonts w:ascii="Arial" w:hAnsi="Arial"/>
        </w:rPr>
        <w:t>,</w:t>
      </w:r>
      <w:r w:rsidR="0034201E">
        <w:rPr>
          <w:rFonts w:ascii="Arial" w:hAnsi="Arial"/>
        </w:rPr>
        <w:t xml:space="preserve"> geliştirdiği uluslararası faaliy</w:t>
      </w:r>
      <w:r w:rsidR="00D632B5">
        <w:rPr>
          <w:rFonts w:ascii="Arial" w:hAnsi="Arial"/>
        </w:rPr>
        <w:t xml:space="preserve">etleri ve yenilenen ürün gamı </w:t>
      </w:r>
      <w:proofErr w:type="gramStart"/>
      <w:r w:rsidR="00D632B5">
        <w:rPr>
          <w:rFonts w:ascii="Arial" w:hAnsi="Arial"/>
        </w:rPr>
        <w:t>ile</w:t>
      </w:r>
      <w:r w:rsidR="0034201E">
        <w:rPr>
          <w:rFonts w:ascii="Arial" w:hAnsi="Arial"/>
        </w:rPr>
        <w:t>,</w:t>
      </w:r>
      <w:proofErr w:type="gramEnd"/>
      <w:r w:rsidR="0034201E">
        <w:rPr>
          <w:rFonts w:ascii="Arial" w:hAnsi="Arial"/>
        </w:rPr>
        <w:t xml:space="preserve"> Drive </w:t>
      </w:r>
      <w:proofErr w:type="spellStart"/>
      <w:r w:rsidR="0034201E">
        <w:rPr>
          <w:rFonts w:ascii="Arial" w:hAnsi="Arial"/>
        </w:rPr>
        <w:t>the</w:t>
      </w:r>
      <w:proofErr w:type="spellEnd"/>
      <w:r w:rsidR="0034201E">
        <w:rPr>
          <w:rFonts w:ascii="Arial" w:hAnsi="Arial"/>
        </w:rPr>
        <w:t xml:space="preserve"> </w:t>
      </w:r>
      <w:proofErr w:type="spellStart"/>
      <w:r w:rsidR="0034201E">
        <w:rPr>
          <w:rFonts w:ascii="Arial" w:hAnsi="Arial"/>
        </w:rPr>
        <w:t>Future</w:t>
      </w:r>
      <w:proofErr w:type="spellEnd"/>
      <w:r w:rsidR="0034201E">
        <w:rPr>
          <w:rFonts w:ascii="Arial" w:hAnsi="Arial"/>
        </w:rPr>
        <w:t xml:space="preserve"> planıyla da bağlantılı olarak 2018 yılında da</w:t>
      </w:r>
      <w:r w:rsidR="00741F59">
        <w:rPr>
          <w:rFonts w:ascii="Arial" w:hAnsi="Arial"/>
        </w:rPr>
        <w:t xml:space="preserve"> </w:t>
      </w:r>
      <w:r w:rsidR="0034201E">
        <w:rPr>
          <w:rFonts w:ascii="Arial" w:hAnsi="Arial"/>
        </w:rPr>
        <w:t>büyümeyi sürdürmeyi hedefliyor.</w:t>
      </w:r>
    </w:p>
    <w:p w:rsidR="0034201E" w:rsidRPr="0034201E" w:rsidRDefault="0034201E" w:rsidP="00E712D2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A96DCC" w:rsidRPr="004B3658" w:rsidRDefault="00D632B5" w:rsidP="009158E0">
      <w:pPr>
        <w:spacing w:after="0" w:line="240" w:lineRule="auto"/>
        <w:jc w:val="both"/>
        <w:rPr>
          <w:rFonts w:ascii="Arial" w:eastAsia="Times New Roman" w:hAnsi="Arial" w:cs="Arial"/>
        </w:rPr>
      </w:pPr>
      <w:r w:rsidRPr="00D632B5">
        <w:rPr>
          <w:rFonts w:ascii="Arial" w:hAnsi="Arial"/>
        </w:rPr>
        <w:t xml:space="preserve">2017 yılında, </w:t>
      </w:r>
      <w:r w:rsidR="00C838DD">
        <w:rPr>
          <w:rFonts w:ascii="Arial" w:hAnsi="Arial"/>
          <w:b/>
        </w:rPr>
        <w:t>Nissan,</w:t>
      </w:r>
      <w:r w:rsidR="00C838DD">
        <w:rPr>
          <w:rFonts w:ascii="Arial" w:hAnsi="Arial"/>
        </w:rPr>
        <w:t xml:space="preserve"> dünya çapında 5 milyon 816 bin 278 satış adedine ulaşarak</w:t>
      </w:r>
      <w:r w:rsidR="0034201E">
        <w:rPr>
          <w:rFonts w:ascii="Arial" w:hAnsi="Arial"/>
        </w:rPr>
        <w:t xml:space="preserve"> satışlarını yüzde 4,6 artırdı ve altı yıllık stratejik </w:t>
      </w:r>
      <w:r w:rsidR="0034201E">
        <w:rPr>
          <w:rFonts w:ascii="Arial" w:hAnsi="Arial"/>
          <w:i/>
        </w:rPr>
        <w:t xml:space="preserve">planı ‘Nissan </w:t>
      </w:r>
      <w:proofErr w:type="gramStart"/>
      <w:r w:rsidR="0034201E">
        <w:rPr>
          <w:rFonts w:ascii="Arial" w:hAnsi="Arial"/>
          <w:i/>
        </w:rPr>
        <w:t>M.O.V</w:t>
      </w:r>
      <w:proofErr w:type="gramEnd"/>
      <w:r w:rsidR="0034201E">
        <w:rPr>
          <w:rFonts w:ascii="Arial" w:hAnsi="Arial"/>
          <w:i/>
        </w:rPr>
        <w:t xml:space="preserve">.E. </w:t>
      </w:r>
      <w:proofErr w:type="spellStart"/>
      <w:r w:rsidR="0034201E">
        <w:rPr>
          <w:rFonts w:ascii="Arial" w:hAnsi="Arial"/>
          <w:i/>
        </w:rPr>
        <w:t>to</w:t>
      </w:r>
      <w:proofErr w:type="spellEnd"/>
      <w:r w:rsidR="0034201E">
        <w:rPr>
          <w:rFonts w:ascii="Arial" w:hAnsi="Arial"/>
          <w:i/>
        </w:rPr>
        <w:t xml:space="preserve"> 2022</w:t>
      </w:r>
      <w:r w:rsidR="0034201E">
        <w:rPr>
          <w:rFonts w:ascii="Arial" w:hAnsi="Arial"/>
        </w:rPr>
        <w:t xml:space="preserve">’nin detaylarını duyurdu. </w:t>
      </w:r>
      <w:r w:rsidR="00776B9F">
        <w:rPr>
          <w:rFonts w:ascii="Arial" w:hAnsi="Arial"/>
        </w:rPr>
        <w:t xml:space="preserve">Nissan’ın satışları, </w:t>
      </w:r>
      <w:r w:rsidR="0034201E">
        <w:rPr>
          <w:rFonts w:ascii="Arial" w:hAnsi="Arial"/>
        </w:rPr>
        <w:t>ABD</w:t>
      </w:r>
      <w:r w:rsidR="00776B9F">
        <w:rPr>
          <w:rFonts w:ascii="Arial" w:hAnsi="Arial"/>
        </w:rPr>
        <w:t xml:space="preserve">’de yüzde 1,9, </w:t>
      </w:r>
      <w:r w:rsidR="0034201E">
        <w:rPr>
          <w:rFonts w:ascii="Arial" w:hAnsi="Arial"/>
        </w:rPr>
        <w:t>Çin’de</w:t>
      </w:r>
      <w:r w:rsidR="00776B9F">
        <w:rPr>
          <w:rFonts w:ascii="Arial" w:hAnsi="Arial"/>
        </w:rPr>
        <w:t xml:space="preserve"> ise yüzde 12,2</w:t>
      </w:r>
      <w:r w:rsidR="0034201E">
        <w:rPr>
          <w:rFonts w:ascii="Arial" w:hAnsi="Arial"/>
        </w:rPr>
        <w:t xml:space="preserve"> </w:t>
      </w:r>
      <w:r w:rsidR="00776B9F">
        <w:rPr>
          <w:rFonts w:ascii="Arial" w:hAnsi="Arial"/>
        </w:rPr>
        <w:t xml:space="preserve">arttı. </w:t>
      </w:r>
      <w:proofErr w:type="spellStart"/>
      <w:r w:rsidR="0034201E">
        <w:rPr>
          <w:rFonts w:ascii="Arial" w:hAnsi="Arial"/>
        </w:rPr>
        <w:t>Infini</w:t>
      </w:r>
      <w:r w:rsidR="00956D2E">
        <w:rPr>
          <w:rFonts w:ascii="Arial" w:hAnsi="Arial"/>
        </w:rPr>
        <w:t>ti</w:t>
      </w:r>
      <w:proofErr w:type="spellEnd"/>
      <w:r w:rsidR="00956D2E">
        <w:rPr>
          <w:rFonts w:ascii="Arial" w:hAnsi="Arial"/>
        </w:rPr>
        <w:t xml:space="preserve">, </w:t>
      </w:r>
      <w:r w:rsidR="00660C91">
        <w:rPr>
          <w:rFonts w:ascii="Arial" w:hAnsi="Arial"/>
        </w:rPr>
        <w:t>2017’de gerçekleştirdiği 246 bin 492 satış adedi ile satışlarını önceki yıla göre</w:t>
      </w:r>
      <w:r w:rsidR="0034201E">
        <w:rPr>
          <w:rFonts w:ascii="Arial" w:hAnsi="Arial"/>
        </w:rPr>
        <w:t xml:space="preserve"> yüzde 7 artırmış oldu.</w:t>
      </w:r>
    </w:p>
    <w:p w:rsidR="00A96DCC" w:rsidRDefault="00A96DCC" w:rsidP="009158E0">
      <w:pPr>
        <w:spacing w:after="0" w:line="240" w:lineRule="auto"/>
        <w:jc w:val="both"/>
        <w:rPr>
          <w:rFonts w:ascii="Arial" w:hAnsi="Arial"/>
          <w:b/>
        </w:rPr>
      </w:pPr>
    </w:p>
    <w:p w:rsidR="009158E0" w:rsidRPr="009158E0" w:rsidRDefault="00AC0B71" w:rsidP="009158E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  <w:b/>
        </w:rPr>
        <w:lastRenderedPageBreak/>
        <w:t xml:space="preserve">Mitsubishi </w:t>
      </w:r>
      <w:proofErr w:type="spellStart"/>
      <w:r>
        <w:rPr>
          <w:rFonts w:ascii="Arial" w:hAnsi="Arial"/>
          <w:b/>
        </w:rPr>
        <w:t>Motors</w:t>
      </w:r>
      <w:proofErr w:type="spellEnd"/>
      <w:r>
        <w:rPr>
          <w:rFonts w:ascii="Arial" w:hAnsi="Arial"/>
          <w:b/>
        </w:rPr>
        <w:t>,</w:t>
      </w:r>
      <w:r w:rsidR="009158E0"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2017 yılında gerçekleştirdiği 1 milyon 30 bin </w:t>
      </w:r>
      <w:r w:rsidR="006805D3">
        <w:rPr>
          <w:rFonts w:ascii="Arial" w:hAnsi="Arial"/>
        </w:rPr>
        <w:t>454 satış adedi ile</w:t>
      </w:r>
      <w:r>
        <w:rPr>
          <w:rFonts w:ascii="Arial" w:hAnsi="Arial"/>
        </w:rPr>
        <w:t xml:space="preserve"> 2016’ya göre satışlarında</w:t>
      </w:r>
      <w:r w:rsidR="009158E0">
        <w:rPr>
          <w:rFonts w:ascii="Arial" w:hAnsi="Arial"/>
        </w:rPr>
        <w:t xml:space="preserve"> yüzde 10</w:t>
      </w:r>
      <w:r>
        <w:rPr>
          <w:rFonts w:ascii="Arial" w:hAnsi="Arial"/>
        </w:rPr>
        <w:t>’luk bir artış kaydetti.</w:t>
      </w:r>
    </w:p>
    <w:p w:rsidR="009158E0" w:rsidRPr="009158E0" w:rsidRDefault="002C1D82" w:rsidP="009158E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Mitsubishi</w:t>
      </w:r>
      <w:r w:rsidR="009158E0">
        <w:rPr>
          <w:rFonts w:ascii="Arial" w:hAnsi="Arial"/>
        </w:rPr>
        <w:t xml:space="preserve"> </w:t>
      </w:r>
      <w:proofErr w:type="spellStart"/>
      <w:r w:rsidR="009158E0">
        <w:rPr>
          <w:rFonts w:ascii="Arial" w:hAnsi="Arial"/>
        </w:rPr>
        <w:t>Motors</w:t>
      </w:r>
      <w:proofErr w:type="spellEnd"/>
      <w:r w:rsidR="009158E0">
        <w:rPr>
          <w:rFonts w:ascii="Arial" w:hAnsi="Arial"/>
        </w:rPr>
        <w:t xml:space="preserve"> şirketinin </w:t>
      </w:r>
      <w:r w:rsidR="009158E0">
        <w:rPr>
          <w:rFonts w:ascii="Arial" w:hAnsi="Arial"/>
          <w:i/>
        </w:rPr>
        <w:t xml:space="preserve">Drive </w:t>
      </w:r>
      <w:proofErr w:type="spellStart"/>
      <w:r w:rsidR="009158E0">
        <w:rPr>
          <w:rFonts w:ascii="Arial" w:hAnsi="Arial"/>
          <w:i/>
        </w:rPr>
        <w:t>For</w:t>
      </w:r>
      <w:proofErr w:type="spellEnd"/>
      <w:r w:rsidR="009158E0">
        <w:rPr>
          <w:rFonts w:ascii="Arial" w:hAnsi="Arial"/>
          <w:i/>
        </w:rPr>
        <w:t xml:space="preserve"> </w:t>
      </w:r>
      <w:proofErr w:type="spellStart"/>
      <w:r w:rsidR="009158E0">
        <w:rPr>
          <w:rFonts w:ascii="Arial" w:hAnsi="Arial"/>
          <w:i/>
        </w:rPr>
        <w:t>Growth</w:t>
      </w:r>
      <w:proofErr w:type="spellEnd"/>
      <w:r w:rsidR="00AC0B71">
        <w:rPr>
          <w:rFonts w:ascii="Arial" w:hAnsi="Arial"/>
        </w:rPr>
        <w:t xml:space="preserve"> </w:t>
      </w:r>
      <w:r w:rsidR="009158E0">
        <w:rPr>
          <w:rFonts w:ascii="Arial" w:hAnsi="Arial"/>
        </w:rPr>
        <w:t>planı için</w:t>
      </w:r>
      <w:r w:rsidR="00D632B5">
        <w:rPr>
          <w:rFonts w:ascii="Arial" w:hAnsi="Arial"/>
        </w:rPr>
        <w:t>, bir önceki yıla göre satışların yüzde 56 arttığı kilit</w:t>
      </w:r>
      <w:r w:rsidR="00AC0B71">
        <w:rPr>
          <w:rFonts w:ascii="Arial" w:hAnsi="Arial"/>
        </w:rPr>
        <w:t xml:space="preserve"> pazar olan Çin, satış hacminin artmasında en önemli </w:t>
      </w:r>
      <w:r w:rsidR="00551692">
        <w:rPr>
          <w:rFonts w:ascii="Arial" w:hAnsi="Arial"/>
        </w:rPr>
        <w:t>faktör oldu</w:t>
      </w:r>
      <w:r w:rsidR="00D632B5">
        <w:rPr>
          <w:rFonts w:ascii="Arial" w:hAnsi="Arial"/>
        </w:rPr>
        <w:t xml:space="preserve">. </w:t>
      </w:r>
      <w:r w:rsidR="00AC0B71">
        <w:rPr>
          <w:rFonts w:ascii="Arial" w:hAnsi="Arial"/>
        </w:rPr>
        <w:t xml:space="preserve">129 bin </w:t>
      </w:r>
      <w:r w:rsidR="009158E0">
        <w:rPr>
          <w:rFonts w:ascii="Arial" w:hAnsi="Arial"/>
        </w:rPr>
        <w:t>160 a</w:t>
      </w:r>
      <w:r w:rsidR="00D632B5">
        <w:rPr>
          <w:rFonts w:ascii="Arial" w:hAnsi="Arial"/>
        </w:rPr>
        <w:t>det satış rakamı ile</w:t>
      </w:r>
      <w:r w:rsidR="001B2E8E">
        <w:rPr>
          <w:rFonts w:ascii="Arial" w:hAnsi="Arial"/>
        </w:rPr>
        <w:t xml:space="preserve"> Çin, yerli üretim olan</w:t>
      </w:r>
      <w:r w:rsidR="00AC0B71">
        <w:rPr>
          <w:rFonts w:ascii="Arial" w:hAnsi="Arial"/>
        </w:rPr>
        <w:t xml:space="preserve"> </w:t>
      </w:r>
      <w:proofErr w:type="spellStart"/>
      <w:r w:rsidR="00AC0B71">
        <w:rPr>
          <w:rFonts w:ascii="Arial" w:hAnsi="Arial"/>
        </w:rPr>
        <w:t>Outlander</w:t>
      </w:r>
      <w:proofErr w:type="spellEnd"/>
      <w:r w:rsidR="00AC0B71">
        <w:rPr>
          <w:rFonts w:ascii="Arial" w:hAnsi="Arial"/>
        </w:rPr>
        <w:t xml:space="preserve"> modeline olan büyük</w:t>
      </w:r>
      <w:r w:rsidR="009158E0">
        <w:rPr>
          <w:rFonts w:ascii="Arial" w:hAnsi="Arial"/>
        </w:rPr>
        <w:t xml:space="preserve"> ilgi sayesinde Mitsubishi </w:t>
      </w:r>
      <w:proofErr w:type="spellStart"/>
      <w:r w:rsidR="009158E0">
        <w:rPr>
          <w:rFonts w:ascii="Arial" w:hAnsi="Arial"/>
        </w:rPr>
        <w:t>Motors’un</w:t>
      </w:r>
      <w:proofErr w:type="spellEnd"/>
      <w:r w:rsidR="009158E0">
        <w:rPr>
          <w:rFonts w:ascii="Arial" w:hAnsi="Arial"/>
        </w:rPr>
        <w:t xml:space="preserve"> en büyük pazarı haline geldi. </w:t>
      </w:r>
    </w:p>
    <w:p w:rsidR="0034201E" w:rsidRPr="009158E0" w:rsidRDefault="0084343F" w:rsidP="009158E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Çok amaçlı </w:t>
      </w:r>
      <w:r w:rsidR="006061D8">
        <w:rPr>
          <w:rFonts w:ascii="Arial" w:hAnsi="Arial"/>
        </w:rPr>
        <w:t xml:space="preserve">kompakt model olan </w:t>
      </w:r>
      <w:proofErr w:type="spellStart"/>
      <w:r w:rsidR="006061D8">
        <w:rPr>
          <w:rFonts w:ascii="Arial" w:hAnsi="Arial"/>
        </w:rPr>
        <w:t>XPANDER’ın</w:t>
      </w:r>
      <w:proofErr w:type="spellEnd"/>
      <w:r w:rsidR="006061D8">
        <w:rPr>
          <w:rFonts w:ascii="Arial" w:hAnsi="Arial"/>
        </w:rPr>
        <w:t xml:space="preserve"> </w:t>
      </w:r>
      <w:r w:rsidR="009158E0">
        <w:rPr>
          <w:rFonts w:ascii="Arial" w:hAnsi="Arial"/>
        </w:rPr>
        <w:t xml:space="preserve">Endonezya’daki </w:t>
      </w:r>
      <w:r w:rsidR="002C1D82">
        <w:rPr>
          <w:rFonts w:ascii="Arial" w:hAnsi="Arial"/>
        </w:rPr>
        <w:t>lansmanı</w:t>
      </w:r>
      <w:r w:rsidR="006061D8">
        <w:rPr>
          <w:rFonts w:ascii="Arial" w:hAnsi="Arial"/>
        </w:rPr>
        <w:t xml:space="preserve">, </w:t>
      </w:r>
      <w:r w:rsidR="009158E0">
        <w:rPr>
          <w:rFonts w:ascii="Arial" w:hAnsi="Arial"/>
        </w:rPr>
        <w:t>ASEAN bölg</w:t>
      </w:r>
      <w:r w:rsidR="006061D8">
        <w:rPr>
          <w:rFonts w:ascii="Arial" w:hAnsi="Arial"/>
        </w:rPr>
        <w:t xml:space="preserve">esinin </w:t>
      </w:r>
      <w:r>
        <w:rPr>
          <w:rFonts w:ascii="Arial" w:hAnsi="Arial"/>
        </w:rPr>
        <w:t>performans</w:t>
      </w:r>
      <w:r w:rsidR="006061D8">
        <w:rPr>
          <w:rFonts w:ascii="Arial" w:hAnsi="Arial"/>
        </w:rPr>
        <w:t>ına</w:t>
      </w:r>
      <w:r>
        <w:rPr>
          <w:rFonts w:ascii="Arial" w:hAnsi="Arial"/>
        </w:rPr>
        <w:t xml:space="preserve"> olumlu bir katkı sağladı</w:t>
      </w:r>
      <w:r w:rsidR="009158E0">
        <w:rPr>
          <w:rFonts w:ascii="Arial" w:hAnsi="Arial"/>
        </w:rPr>
        <w:t xml:space="preserve"> ve</w:t>
      </w:r>
      <w:r w:rsidR="002719DE">
        <w:rPr>
          <w:rFonts w:ascii="Arial" w:hAnsi="Arial"/>
        </w:rPr>
        <w:t xml:space="preserve"> </w:t>
      </w:r>
      <w:r>
        <w:rPr>
          <w:rFonts w:ascii="Arial" w:hAnsi="Arial"/>
        </w:rPr>
        <w:t xml:space="preserve">satışlar </w:t>
      </w:r>
      <w:r w:rsidR="002719DE">
        <w:rPr>
          <w:rFonts w:ascii="Arial" w:hAnsi="Arial"/>
        </w:rPr>
        <w:t xml:space="preserve">yüzde 17’lik bir artış ile 242 bin </w:t>
      </w:r>
      <w:r>
        <w:rPr>
          <w:rFonts w:ascii="Arial" w:hAnsi="Arial"/>
        </w:rPr>
        <w:t>224 adede ulaştı</w:t>
      </w:r>
      <w:r w:rsidR="009158E0">
        <w:rPr>
          <w:rFonts w:ascii="Arial" w:hAnsi="Arial"/>
        </w:rPr>
        <w:t xml:space="preserve">. Japonya’da </w:t>
      </w:r>
      <w:proofErr w:type="spellStart"/>
      <w:r w:rsidR="009158E0">
        <w:rPr>
          <w:rFonts w:ascii="Arial" w:hAnsi="Arial"/>
        </w:rPr>
        <w:t>kei</w:t>
      </w:r>
      <w:proofErr w:type="spellEnd"/>
      <w:r w:rsidR="009158E0">
        <w:rPr>
          <w:rFonts w:ascii="Arial" w:hAnsi="Arial"/>
        </w:rPr>
        <w:t>-car otomobiller pazarlanmaya devam ederken, satışlar da yüzde 7 arttı.</w:t>
      </w:r>
    </w:p>
    <w:p w:rsidR="009158E0" w:rsidRPr="0034201E" w:rsidRDefault="009158E0" w:rsidP="009158E0">
      <w:pPr>
        <w:spacing w:after="0" w:line="240" w:lineRule="auto"/>
        <w:jc w:val="both"/>
        <w:rPr>
          <w:rFonts w:ascii="Arial" w:eastAsia="Arial" w:hAnsi="Arial" w:cs="Times New Roman"/>
          <w:sz w:val="16"/>
          <w:szCs w:val="16"/>
        </w:rPr>
      </w:pPr>
    </w:p>
    <w:p w:rsidR="0034201E" w:rsidRPr="0034201E" w:rsidRDefault="00C00CDB" w:rsidP="00E712D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Elektrikli araç pazarında</w:t>
      </w:r>
      <w:r w:rsidR="0034201E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her zaman </w:t>
      </w:r>
      <w:r w:rsidR="0034201E">
        <w:rPr>
          <w:rFonts w:ascii="Arial" w:hAnsi="Arial"/>
          <w:b/>
          <w:bCs/>
        </w:rPr>
        <w:t>lider</w:t>
      </w:r>
    </w:p>
    <w:p w:rsidR="0034201E" w:rsidRPr="00B96E59" w:rsidRDefault="0034201E" w:rsidP="00E712D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Nissan LEAF modelin</w:t>
      </w:r>
      <w:r w:rsidR="00FD087F">
        <w:rPr>
          <w:rFonts w:ascii="Arial" w:hAnsi="Arial"/>
        </w:rPr>
        <w:t>in</w:t>
      </w:r>
      <w:r w:rsidR="00C00CDB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lansmanının</w:t>
      </w:r>
      <w:proofErr w:type="spellEnd"/>
      <w:r>
        <w:rPr>
          <w:rFonts w:ascii="Arial" w:hAnsi="Arial"/>
        </w:rPr>
        <w:t xml:space="preserve"> gerçekleştiği 2010’dan bu yana Ren</w:t>
      </w:r>
      <w:r w:rsidR="00C00CDB">
        <w:rPr>
          <w:rFonts w:ascii="Arial" w:hAnsi="Arial"/>
        </w:rPr>
        <w:t>ault-Nissan-Mitsubishi İt</w:t>
      </w:r>
      <w:r w:rsidR="00A65E4E">
        <w:rPr>
          <w:rFonts w:ascii="Arial" w:hAnsi="Arial"/>
        </w:rPr>
        <w:t>tifakı</w:t>
      </w:r>
      <w:r w:rsidR="00FD087F">
        <w:rPr>
          <w:rFonts w:ascii="Arial" w:hAnsi="Arial"/>
        </w:rPr>
        <w:t>,</w:t>
      </w:r>
      <w:r>
        <w:rPr>
          <w:rFonts w:ascii="Arial" w:hAnsi="Arial"/>
        </w:rPr>
        <w:t xml:space="preserve"> dünya çapında farklı markala</w:t>
      </w:r>
      <w:r w:rsidR="002C1D82">
        <w:rPr>
          <w:rFonts w:ascii="Arial" w:hAnsi="Arial"/>
        </w:rPr>
        <w:t xml:space="preserve">r altında </w:t>
      </w:r>
      <w:r w:rsidR="00713AF2">
        <w:rPr>
          <w:rFonts w:ascii="Arial" w:hAnsi="Arial"/>
        </w:rPr>
        <w:t xml:space="preserve">540 bin </w:t>
      </w:r>
      <w:r>
        <w:rPr>
          <w:rFonts w:ascii="Arial" w:hAnsi="Arial"/>
        </w:rPr>
        <w:t>623</w:t>
      </w:r>
      <w:r w:rsidR="00A47F4D">
        <w:rPr>
          <w:rFonts w:ascii="Arial" w:hAnsi="Arial"/>
        </w:rPr>
        <w:t xml:space="preserve"> adet elektrikli aracın satışını</w:t>
      </w:r>
      <w:r>
        <w:rPr>
          <w:rFonts w:ascii="Arial" w:hAnsi="Arial"/>
        </w:rPr>
        <w:t xml:space="preserve"> </w:t>
      </w:r>
      <w:r w:rsidR="00FD087F">
        <w:rPr>
          <w:rFonts w:ascii="Arial" w:hAnsi="Arial"/>
        </w:rPr>
        <w:t xml:space="preserve">gerçekleştirdi. </w:t>
      </w:r>
      <w:r w:rsidR="00A65E4E">
        <w:rPr>
          <w:rFonts w:ascii="Arial" w:hAnsi="Arial"/>
        </w:rPr>
        <w:t>T</w:t>
      </w:r>
      <w:r w:rsidR="00FD087F">
        <w:rPr>
          <w:rFonts w:ascii="Arial" w:hAnsi="Arial"/>
        </w:rPr>
        <w:t>oplam satışlar</w:t>
      </w:r>
      <w:r>
        <w:rPr>
          <w:rFonts w:ascii="Arial" w:hAnsi="Arial"/>
        </w:rPr>
        <w:t xml:space="preserve"> göz önün</w:t>
      </w:r>
      <w:r w:rsidR="00FD087F">
        <w:rPr>
          <w:rFonts w:ascii="Arial" w:hAnsi="Arial"/>
        </w:rPr>
        <w:t>de bu</w:t>
      </w:r>
      <w:r w:rsidR="008503C8">
        <w:rPr>
          <w:rFonts w:ascii="Arial" w:hAnsi="Arial"/>
        </w:rPr>
        <w:t xml:space="preserve">lundurulduğunda, </w:t>
      </w:r>
      <w:r w:rsidR="00A65E4E">
        <w:rPr>
          <w:rFonts w:ascii="Arial" w:hAnsi="Arial"/>
        </w:rPr>
        <w:t>İttifak</w:t>
      </w:r>
      <w:r w:rsidR="00C00CDB">
        <w:rPr>
          <w:rFonts w:ascii="Arial" w:hAnsi="Arial"/>
        </w:rPr>
        <w:t>’</w:t>
      </w:r>
      <w:r w:rsidR="00A65E4E">
        <w:rPr>
          <w:rFonts w:ascii="Arial" w:hAnsi="Arial"/>
        </w:rPr>
        <w:t xml:space="preserve">ın </w:t>
      </w:r>
      <w:r w:rsidR="003E3B34">
        <w:rPr>
          <w:rFonts w:ascii="Arial" w:hAnsi="Arial"/>
        </w:rPr>
        <w:t>elektrikli binek +</w:t>
      </w:r>
      <w:r>
        <w:rPr>
          <w:rFonts w:ascii="Arial" w:hAnsi="Arial"/>
        </w:rPr>
        <w:t xml:space="preserve"> h</w:t>
      </w:r>
      <w:r w:rsidR="003E3B34">
        <w:rPr>
          <w:rFonts w:ascii="Arial" w:hAnsi="Arial"/>
        </w:rPr>
        <w:t xml:space="preserve">afif ticari </w:t>
      </w:r>
      <w:r w:rsidR="00F05840">
        <w:rPr>
          <w:rFonts w:ascii="Arial" w:hAnsi="Arial"/>
        </w:rPr>
        <w:t>araç pazarında</w:t>
      </w:r>
      <w:r w:rsidR="00A65E4E">
        <w:rPr>
          <w:rFonts w:ascii="Arial" w:hAnsi="Arial"/>
        </w:rPr>
        <w:t xml:space="preserve"> dünya liderliği</w:t>
      </w:r>
      <w:r w:rsidR="00F05840">
        <w:rPr>
          <w:rFonts w:ascii="Arial" w:hAnsi="Arial"/>
        </w:rPr>
        <w:t xml:space="preserve"> sürüyor.</w:t>
      </w:r>
    </w:p>
    <w:p w:rsidR="0034201E" w:rsidRPr="00B96E59" w:rsidRDefault="0034201E" w:rsidP="00E712D2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34201E" w:rsidRPr="00B96E59" w:rsidRDefault="00C00CDB" w:rsidP="00E712D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Herkesin ulaşabileceği ilk </w:t>
      </w:r>
      <w:r w:rsidR="0034201E">
        <w:rPr>
          <w:rFonts w:ascii="Arial" w:hAnsi="Arial"/>
        </w:rPr>
        <w:t xml:space="preserve">elektrikli </w:t>
      </w:r>
      <w:r>
        <w:rPr>
          <w:rFonts w:ascii="Arial" w:hAnsi="Arial"/>
        </w:rPr>
        <w:t>otomobil</w:t>
      </w:r>
      <w:r w:rsidR="0034201E">
        <w:rPr>
          <w:rFonts w:ascii="Arial" w:hAnsi="Arial"/>
        </w:rPr>
        <w:t xml:space="preserve"> olan Nissan LEAF, Aralık 2010’daki lansmanından bu yana </w:t>
      </w:r>
      <w:r w:rsidR="002C1D82">
        <w:rPr>
          <w:rFonts w:ascii="Arial" w:hAnsi="Arial"/>
        </w:rPr>
        <w:t>gerçekleşen</w:t>
      </w:r>
      <w:r w:rsidR="00EE35C1">
        <w:rPr>
          <w:rFonts w:ascii="Arial" w:hAnsi="Arial"/>
        </w:rPr>
        <w:t xml:space="preserve"> 300 binin üzerindeki satış adedi</w:t>
      </w:r>
      <w:r w:rsidR="0034201E">
        <w:rPr>
          <w:rFonts w:ascii="Arial" w:hAnsi="Arial"/>
        </w:rPr>
        <w:t xml:space="preserve"> sayesinde dünyan</w:t>
      </w:r>
      <w:r w:rsidR="00EE35C1">
        <w:rPr>
          <w:rFonts w:ascii="Arial" w:hAnsi="Arial"/>
        </w:rPr>
        <w:t>ın en çok sat</w:t>
      </w:r>
      <w:r>
        <w:rPr>
          <w:rFonts w:ascii="Arial" w:hAnsi="Arial"/>
        </w:rPr>
        <w:t>ıl</w:t>
      </w:r>
      <w:r w:rsidR="00EE35C1">
        <w:rPr>
          <w:rFonts w:ascii="Arial" w:hAnsi="Arial"/>
        </w:rPr>
        <w:t>an elektrikli otomobili</w:t>
      </w:r>
      <w:r w:rsidR="0034201E">
        <w:rPr>
          <w:rFonts w:ascii="Arial" w:hAnsi="Arial"/>
        </w:rPr>
        <w:t xml:space="preserve"> olmaya devam ediyor. </w:t>
      </w:r>
    </w:p>
    <w:p w:rsidR="0034201E" w:rsidRPr="00B96E59" w:rsidRDefault="0034201E" w:rsidP="00E712D2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5C1A0D" w:rsidRPr="009158E0" w:rsidRDefault="009B14D1" w:rsidP="005C1A0D">
      <w:pPr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2017’d</w:t>
      </w:r>
      <w:r w:rsidR="005C1A0D">
        <w:rPr>
          <w:rFonts w:ascii="Arial" w:hAnsi="Arial"/>
        </w:rPr>
        <w:t xml:space="preserve">e </w:t>
      </w:r>
      <w:r w:rsidR="00C00CDB">
        <w:rPr>
          <w:rFonts w:ascii="Arial" w:hAnsi="Arial"/>
        </w:rPr>
        <w:t>lansmanı gerçekleştirilen Y</w:t>
      </w:r>
      <w:r w:rsidR="005C1A0D">
        <w:rPr>
          <w:rFonts w:ascii="Arial" w:hAnsi="Arial"/>
        </w:rPr>
        <w:t>eni Nissan LEAF i</w:t>
      </w:r>
      <w:r w:rsidR="00C00CDB">
        <w:rPr>
          <w:rFonts w:ascii="Arial" w:hAnsi="Arial"/>
        </w:rPr>
        <w:t>le</w:t>
      </w:r>
      <w:r w:rsidR="005C1A0D">
        <w:rPr>
          <w:rFonts w:ascii="Arial" w:hAnsi="Arial"/>
        </w:rPr>
        <w:t xml:space="preserve"> daha g</w:t>
      </w:r>
      <w:r w:rsidR="00C00CDB">
        <w:rPr>
          <w:rFonts w:ascii="Arial" w:hAnsi="Arial"/>
        </w:rPr>
        <w:t xml:space="preserve">eniş bir ürün gamının yanı sıra </w:t>
      </w:r>
      <w:r w:rsidR="005C1A0D">
        <w:rPr>
          <w:rFonts w:ascii="Arial" w:hAnsi="Arial"/>
        </w:rPr>
        <w:t>iler</w:t>
      </w:r>
      <w:r w:rsidR="00C00CDB">
        <w:rPr>
          <w:rFonts w:ascii="Arial" w:hAnsi="Arial"/>
        </w:rPr>
        <w:t>i teknoloji</w:t>
      </w:r>
      <w:r w:rsidR="00F91B60">
        <w:rPr>
          <w:rFonts w:ascii="Arial" w:hAnsi="Arial"/>
        </w:rPr>
        <w:t xml:space="preserve"> ve dinamik </w:t>
      </w:r>
      <w:r w:rsidR="00C00CDB">
        <w:rPr>
          <w:rFonts w:ascii="Arial" w:hAnsi="Arial"/>
        </w:rPr>
        <w:t xml:space="preserve">bir tasarım da sunuldu. </w:t>
      </w:r>
      <w:r>
        <w:rPr>
          <w:rFonts w:ascii="Arial" w:hAnsi="Arial"/>
        </w:rPr>
        <w:t>Japonya’da geçen</w:t>
      </w:r>
      <w:r w:rsidR="005C1A0D">
        <w:rPr>
          <w:rFonts w:ascii="Arial" w:hAnsi="Arial"/>
        </w:rPr>
        <w:t xml:space="preserve"> yıl satışa sunulan model, 2</w:t>
      </w:r>
      <w:r w:rsidR="00C00CDB">
        <w:rPr>
          <w:rFonts w:ascii="Arial" w:hAnsi="Arial"/>
        </w:rPr>
        <w:t>018 yılında ABD ve Avrupa gibi diğer önemli pazarlara da sunulacak.</w:t>
      </w:r>
      <w:r w:rsidR="005C1A0D">
        <w:rPr>
          <w:rFonts w:ascii="Arial" w:hAnsi="Arial"/>
        </w:rPr>
        <w:t xml:space="preserve"> Yeni Nissan LEAF</w:t>
      </w:r>
      <w:r>
        <w:rPr>
          <w:rFonts w:ascii="Arial" w:hAnsi="Arial"/>
        </w:rPr>
        <w:t>, dünya çapında 40 binin</w:t>
      </w:r>
      <w:r w:rsidR="005C1A0D">
        <w:rPr>
          <w:rFonts w:ascii="Arial" w:hAnsi="Arial"/>
        </w:rPr>
        <w:t xml:space="preserve"> üzerinde si</w:t>
      </w:r>
      <w:r w:rsidR="00C00CDB">
        <w:rPr>
          <w:rFonts w:ascii="Arial" w:hAnsi="Arial"/>
        </w:rPr>
        <w:t xml:space="preserve">pariş alırken, bunların 13 bin adedi Japonya’dan, 13 bin adedi </w:t>
      </w:r>
      <w:r w:rsidR="005C1A0D">
        <w:rPr>
          <w:rFonts w:ascii="Arial" w:hAnsi="Arial"/>
        </w:rPr>
        <w:t>Amerika Birleşik Devl</w:t>
      </w:r>
      <w:r>
        <w:rPr>
          <w:rFonts w:ascii="Arial" w:hAnsi="Arial"/>
        </w:rPr>
        <w:t>etleri</w:t>
      </w:r>
      <w:r w:rsidR="00C6442B">
        <w:rPr>
          <w:rFonts w:ascii="Arial" w:hAnsi="Arial"/>
        </w:rPr>
        <w:t>’</w:t>
      </w:r>
      <w:r w:rsidR="00C00CDB">
        <w:rPr>
          <w:rFonts w:ascii="Arial" w:hAnsi="Arial"/>
        </w:rPr>
        <w:t>nden ve 12 bin adedi</w:t>
      </w:r>
      <w:r>
        <w:rPr>
          <w:rFonts w:ascii="Arial" w:hAnsi="Arial"/>
        </w:rPr>
        <w:t xml:space="preserve"> A</w:t>
      </w:r>
      <w:r w:rsidR="005C1A0D">
        <w:rPr>
          <w:rFonts w:ascii="Arial" w:hAnsi="Arial"/>
        </w:rPr>
        <w:t xml:space="preserve">vrupa’dan geldi.  </w:t>
      </w:r>
    </w:p>
    <w:p w:rsidR="005C1A0D" w:rsidRPr="009158E0" w:rsidRDefault="00025034" w:rsidP="005C1A0D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Nissan’ın </w:t>
      </w:r>
      <w:r w:rsidR="005C1A0D">
        <w:rPr>
          <w:rFonts w:ascii="Arial" w:hAnsi="Arial"/>
        </w:rPr>
        <w:t>A</w:t>
      </w:r>
      <w:r w:rsidR="00DA78C9">
        <w:rPr>
          <w:rFonts w:ascii="Arial" w:hAnsi="Arial"/>
        </w:rPr>
        <w:t xml:space="preserve">vrupa ve Japonya’da satılan </w:t>
      </w:r>
      <w:r w:rsidR="005C1A0D">
        <w:rPr>
          <w:rFonts w:ascii="Arial" w:hAnsi="Arial"/>
        </w:rPr>
        <w:t>hafi</w:t>
      </w:r>
      <w:r>
        <w:rPr>
          <w:rFonts w:ascii="Arial" w:hAnsi="Arial"/>
        </w:rPr>
        <w:t>f ticari modeli</w:t>
      </w:r>
      <w:r w:rsidR="00DA78C9">
        <w:rPr>
          <w:rFonts w:ascii="Arial" w:hAnsi="Arial"/>
        </w:rPr>
        <w:t xml:space="preserve"> e-NV200’ün</w:t>
      </w:r>
      <w:r w:rsidR="00C00CDB">
        <w:rPr>
          <w:rFonts w:ascii="Arial" w:hAnsi="Arial"/>
        </w:rPr>
        <w:t xml:space="preserve"> Avrupa’da </w:t>
      </w:r>
      <w:r w:rsidR="005C1A0D">
        <w:rPr>
          <w:rFonts w:ascii="Arial" w:hAnsi="Arial"/>
        </w:rPr>
        <w:t>menzili 100 km artırıldı.</w:t>
      </w:r>
    </w:p>
    <w:p w:rsidR="0034201E" w:rsidRPr="002462B9" w:rsidRDefault="0034201E" w:rsidP="00E712D2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Renault</w:t>
      </w:r>
      <w:r w:rsidR="0039145B">
        <w:rPr>
          <w:rFonts w:ascii="Arial" w:hAnsi="Arial"/>
        </w:rPr>
        <w:t>, 2017 yılında</w:t>
      </w:r>
      <w:r>
        <w:rPr>
          <w:rFonts w:ascii="Arial" w:hAnsi="Arial"/>
        </w:rPr>
        <w:t xml:space="preserve"> yüzde 23,8’lik </w:t>
      </w:r>
      <w:r w:rsidR="00DE7CDE">
        <w:rPr>
          <w:rFonts w:ascii="Arial" w:hAnsi="Arial"/>
        </w:rPr>
        <w:t xml:space="preserve">bir </w:t>
      </w:r>
      <w:r>
        <w:rPr>
          <w:rFonts w:ascii="Arial" w:hAnsi="Arial"/>
        </w:rPr>
        <w:t>pazar payı</w:t>
      </w:r>
      <w:r w:rsidR="0039145B">
        <w:rPr>
          <w:rFonts w:ascii="Arial" w:hAnsi="Arial"/>
        </w:rPr>
        <w:t xml:space="preserve"> elde etti ve </w:t>
      </w:r>
      <w:r w:rsidR="00C138E7">
        <w:rPr>
          <w:rFonts w:ascii="Arial" w:hAnsi="Arial"/>
        </w:rPr>
        <w:t xml:space="preserve">satışlarını </w:t>
      </w:r>
      <w:r>
        <w:rPr>
          <w:rFonts w:ascii="Arial" w:hAnsi="Arial"/>
        </w:rPr>
        <w:t>yüz</w:t>
      </w:r>
      <w:r w:rsidR="00C138E7">
        <w:rPr>
          <w:rFonts w:ascii="Arial" w:hAnsi="Arial"/>
        </w:rPr>
        <w:t>de 38 artırarak</w:t>
      </w:r>
      <w:r>
        <w:rPr>
          <w:rFonts w:ascii="Arial" w:hAnsi="Arial"/>
        </w:rPr>
        <w:t xml:space="preserve"> üst üste üçüncü yıl Avrupa’d</w:t>
      </w:r>
      <w:r w:rsidR="000B2A17">
        <w:rPr>
          <w:rFonts w:ascii="Arial" w:hAnsi="Arial"/>
        </w:rPr>
        <w:t>a elektrikli otomobil</w:t>
      </w:r>
      <w:r w:rsidR="00110038">
        <w:rPr>
          <w:rFonts w:ascii="Arial" w:hAnsi="Arial"/>
        </w:rPr>
        <w:t xml:space="preserve"> pazarının</w:t>
      </w:r>
      <w:r>
        <w:rPr>
          <w:rFonts w:ascii="Arial" w:hAnsi="Arial"/>
        </w:rPr>
        <w:t xml:space="preserve"> lideri oldu. Renault </w:t>
      </w:r>
      <w:proofErr w:type="spellStart"/>
      <w:r>
        <w:rPr>
          <w:rFonts w:ascii="Arial" w:hAnsi="Arial"/>
        </w:rPr>
        <w:t>ZOE</w:t>
      </w:r>
      <w:r w:rsidR="00110038">
        <w:rPr>
          <w:rFonts w:ascii="Arial" w:hAnsi="Arial"/>
        </w:rPr>
        <w:t>’nin</w:t>
      </w:r>
      <w:proofErr w:type="spellEnd"/>
      <w:r w:rsidR="00110038">
        <w:rPr>
          <w:rFonts w:ascii="Arial" w:hAnsi="Arial"/>
        </w:rPr>
        <w:t xml:space="preserve"> </w:t>
      </w:r>
      <w:r>
        <w:rPr>
          <w:rFonts w:ascii="Arial" w:hAnsi="Arial"/>
        </w:rPr>
        <w:t>satış oranı</w:t>
      </w:r>
      <w:r w:rsidR="00E814F5">
        <w:rPr>
          <w:rFonts w:ascii="Arial" w:hAnsi="Arial"/>
        </w:rPr>
        <w:t xml:space="preserve"> ise</w:t>
      </w:r>
      <w:r>
        <w:rPr>
          <w:rFonts w:ascii="Arial" w:hAnsi="Arial"/>
        </w:rPr>
        <w:t xml:space="preserve"> yüzde 4</w:t>
      </w:r>
      <w:r w:rsidR="00E814F5">
        <w:rPr>
          <w:rFonts w:ascii="Arial" w:hAnsi="Arial"/>
        </w:rPr>
        <w:t xml:space="preserve">4 artış gösterdi ve </w:t>
      </w:r>
      <w:r>
        <w:rPr>
          <w:rFonts w:ascii="Arial" w:hAnsi="Arial"/>
        </w:rPr>
        <w:t xml:space="preserve">Avrupa’nın en çok </w:t>
      </w:r>
      <w:r w:rsidR="00E814F5">
        <w:rPr>
          <w:rFonts w:ascii="Arial" w:hAnsi="Arial"/>
        </w:rPr>
        <w:t>satılan</w:t>
      </w:r>
      <w:r w:rsidR="00B85410">
        <w:rPr>
          <w:rFonts w:ascii="Arial" w:hAnsi="Arial"/>
        </w:rPr>
        <w:t xml:space="preserve"> elektrikli otomobili</w:t>
      </w:r>
      <w:r>
        <w:rPr>
          <w:rFonts w:ascii="Arial" w:hAnsi="Arial"/>
        </w:rPr>
        <w:t xml:space="preserve"> oldu.</w:t>
      </w:r>
    </w:p>
    <w:p w:rsidR="0034201E" w:rsidRPr="002462B9" w:rsidRDefault="0034201E" w:rsidP="00E712D2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Renault ZOE, Ren</w:t>
      </w:r>
      <w:r w:rsidR="000E55C3">
        <w:rPr>
          <w:rFonts w:ascii="Arial" w:hAnsi="Arial"/>
        </w:rPr>
        <w:t xml:space="preserve">ault </w:t>
      </w:r>
      <w:proofErr w:type="spellStart"/>
      <w:r w:rsidR="000E55C3">
        <w:rPr>
          <w:rFonts w:ascii="Arial" w:hAnsi="Arial"/>
        </w:rPr>
        <w:t>Kangoo</w:t>
      </w:r>
      <w:proofErr w:type="spellEnd"/>
      <w:r w:rsidR="000E55C3">
        <w:rPr>
          <w:rFonts w:ascii="Arial" w:hAnsi="Arial"/>
        </w:rPr>
        <w:t xml:space="preserve"> Z.E</w:t>
      </w:r>
      <w:proofErr w:type="gramStart"/>
      <w:r w:rsidR="000E55C3">
        <w:rPr>
          <w:rFonts w:ascii="Arial" w:hAnsi="Arial"/>
        </w:rPr>
        <w:t>.,</w:t>
      </w:r>
      <w:proofErr w:type="gramEnd"/>
      <w:r w:rsidR="000E55C3">
        <w:rPr>
          <w:rFonts w:ascii="Arial" w:hAnsi="Arial"/>
        </w:rPr>
        <w:t xml:space="preserve"> Fluence Z.E. v</w:t>
      </w:r>
      <w:r>
        <w:rPr>
          <w:rFonts w:ascii="Arial" w:hAnsi="Arial"/>
        </w:rPr>
        <w:t>e Renault</w:t>
      </w:r>
      <w:r w:rsidR="005C292D">
        <w:rPr>
          <w:rFonts w:ascii="Arial" w:hAnsi="Arial"/>
        </w:rPr>
        <w:t xml:space="preserve"> </w:t>
      </w:r>
      <w:proofErr w:type="spellStart"/>
      <w:r w:rsidR="005C292D">
        <w:rPr>
          <w:rFonts w:ascii="Arial" w:hAnsi="Arial"/>
        </w:rPr>
        <w:t>Samsung</w:t>
      </w:r>
      <w:proofErr w:type="spellEnd"/>
      <w:r w:rsidR="005C292D">
        <w:rPr>
          <w:rFonts w:ascii="Arial" w:hAnsi="Arial"/>
        </w:rPr>
        <w:t xml:space="preserve"> </w:t>
      </w:r>
      <w:proofErr w:type="spellStart"/>
      <w:r w:rsidR="005C292D">
        <w:rPr>
          <w:rFonts w:ascii="Arial" w:hAnsi="Arial"/>
        </w:rPr>
        <w:t>Motors</w:t>
      </w:r>
      <w:proofErr w:type="spellEnd"/>
      <w:r w:rsidR="005C292D">
        <w:rPr>
          <w:rFonts w:ascii="Arial" w:hAnsi="Arial"/>
        </w:rPr>
        <w:t xml:space="preserve"> SM3 Z.E gibi elektrikli modellerin</w:t>
      </w:r>
      <w:r w:rsidR="000E55C3">
        <w:rPr>
          <w:rFonts w:ascii="Arial" w:hAnsi="Arial"/>
        </w:rPr>
        <w:t xml:space="preserve"> toplam satış miktarı</w:t>
      </w:r>
      <w:r w:rsidR="00DA7250">
        <w:rPr>
          <w:rFonts w:ascii="Arial" w:hAnsi="Arial"/>
        </w:rPr>
        <w:t xml:space="preserve"> 2011’den bu yana 150 bin adedi geçti.</w:t>
      </w:r>
    </w:p>
    <w:p w:rsidR="0034201E" w:rsidRDefault="000E55C3" w:rsidP="00E712D2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Renault, 2017 yılında Master Z.E. modelinin</w:t>
      </w:r>
      <w:r w:rsidR="0034201E">
        <w:rPr>
          <w:rFonts w:ascii="Arial" w:hAnsi="Arial"/>
        </w:rPr>
        <w:t xml:space="preserve"> </w:t>
      </w:r>
      <w:proofErr w:type="spellStart"/>
      <w:r w:rsidR="0034201E">
        <w:rPr>
          <w:rFonts w:ascii="Arial" w:hAnsi="Arial"/>
        </w:rPr>
        <w:t>lansmanını</w:t>
      </w:r>
      <w:proofErr w:type="spellEnd"/>
      <w:r w:rsidR="0034201E">
        <w:rPr>
          <w:rFonts w:ascii="Arial" w:hAnsi="Arial"/>
        </w:rPr>
        <w:t xml:space="preserve"> gerçekleştirerek, dünyada benzersiz olan sıfır </w:t>
      </w:r>
      <w:proofErr w:type="gramStart"/>
      <w:r w:rsidR="0034201E">
        <w:rPr>
          <w:rFonts w:ascii="Arial" w:hAnsi="Arial"/>
        </w:rPr>
        <w:t>emisyonlu</w:t>
      </w:r>
      <w:proofErr w:type="gramEnd"/>
      <w:r w:rsidR="0034201E">
        <w:rPr>
          <w:rFonts w:ascii="Arial" w:hAnsi="Arial"/>
        </w:rPr>
        <w:t xml:space="preserve"> bir hafif ticari a</w:t>
      </w:r>
      <w:r w:rsidR="002462B9">
        <w:rPr>
          <w:rFonts w:ascii="Arial" w:hAnsi="Arial"/>
        </w:rPr>
        <w:t>raç serisini duyurmuş oldu. (</w:t>
      </w:r>
      <w:proofErr w:type="spellStart"/>
      <w:r w:rsidR="002462B9">
        <w:rPr>
          <w:rFonts w:ascii="Arial" w:hAnsi="Arial"/>
        </w:rPr>
        <w:t>ZOE’nin</w:t>
      </w:r>
      <w:proofErr w:type="spellEnd"/>
      <w:r w:rsidR="0034201E">
        <w:rPr>
          <w:rFonts w:ascii="Arial" w:hAnsi="Arial"/>
        </w:rPr>
        <w:t xml:space="preserve"> şirket</w:t>
      </w:r>
      <w:r w:rsidR="003B492F">
        <w:rPr>
          <w:rFonts w:ascii="Arial" w:hAnsi="Arial"/>
        </w:rPr>
        <w:t xml:space="preserve"> otomobili </w:t>
      </w:r>
      <w:proofErr w:type="gramStart"/>
      <w:r w:rsidR="003B492F">
        <w:rPr>
          <w:rFonts w:ascii="Arial" w:hAnsi="Arial"/>
        </w:rPr>
        <w:t>versiyonu</w:t>
      </w:r>
      <w:proofErr w:type="gramEnd"/>
      <w:r w:rsidR="003B492F">
        <w:rPr>
          <w:rFonts w:ascii="Arial" w:hAnsi="Arial"/>
        </w:rPr>
        <w:t xml:space="preserve"> olan </w:t>
      </w:r>
      <w:proofErr w:type="spellStart"/>
      <w:r w:rsidR="003B492F">
        <w:rPr>
          <w:rFonts w:ascii="Arial" w:hAnsi="Arial"/>
        </w:rPr>
        <w:t>Twizy</w:t>
      </w:r>
      <w:proofErr w:type="spellEnd"/>
      <w:r w:rsidR="003B492F">
        <w:rPr>
          <w:rFonts w:ascii="Arial" w:hAnsi="Arial"/>
        </w:rPr>
        <w:t xml:space="preserve"> </w:t>
      </w:r>
      <w:r w:rsidR="0034201E">
        <w:rPr>
          <w:rFonts w:ascii="Arial" w:hAnsi="Arial"/>
        </w:rPr>
        <w:t>Car</w:t>
      </w:r>
      <w:r w:rsidR="003B492F">
        <w:rPr>
          <w:rFonts w:ascii="Arial" w:hAnsi="Arial"/>
        </w:rPr>
        <w:t xml:space="preserve">go, </w:t>
      </w:r>
      <w:proofErr w:type="spellStart"/>
      <w:r w:rsidR="003B492F">
        <w:rPr>
          <w:rFonts w:ascii="Arial" w:hAnsi="Arial"/>
        </w:rPr>
        <w:t>Kangoo</w:t>
      </w:r>
      <w:proofErr w:type="spellEnd"/>
      <w:r w:rsidR="003B492F">
        <w:rPr>
          <w:rFonts w:ascii="Arial" w:hAnsi="Arial"/>
        </w:rPr>
        <w:t xml:space="preserve"> Z.E. v</w:t>
      </w:r>
      <w:r w:rsidR="002462B9">
        <w:rPr>
          <w:rFonts w:ascii="Arial" w:hAnsi="Arial"/>
        </w:rPr>
        <w:t>e Master Z.E.)</w:t>
      </w:r>
    </w:p>
    <w:p w:rsidR="003B492F" w:rsidRPr="00B96E59" w:rsidRDefault="003B492F" w:rsidP="00E712D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4201E" w:rsidRPr="0034201E" w:rsidRDefault="0034201E" w:rsidP="00E712D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2017 yılında Renault-Nissan-Mitsubishi </w:t>
      </w:r>
      <w:r w:rsidR="002462B9">
        <w:rPr>
          <w:rFonts w:ascii="Arial" w:hAnsi="Arial"/>
        </w:rPr>
        <w:t>İ</w:t>
      </w:r>
      <w:r w:rsidR="000E55C3">
        <w:rPr>
          <w:rFonts w:ascii="Arial" w:hAnsi="Arial"/>
        </w:rPr>
        <w:t>ttifakı 91 bin</w:t>
      </w:r>
      <w:r>
        <w:rPr>
          <w:rFonts w:ascii="Arial" w:hAnsi="Arial"/>
        </w:rPr>
        <w:t xml:space="preserve"> adet</w:t>
      </w:r>
      <w:r w:rsidR="000E55C3">
        <w:rPr>
          <w:rFonts w:ascii="Arial" w:hAnsi="Arial"/>
        </w:rPr>
        <w:t xml:space="preserve"> elektrikli araç satışı gerçekleştirdi ve satışlarını 2016’ya göre </w:t>
      </w:r>
      <w:r>
        <w:rPr>
          <w:rFonts w:ascii="Arial" w:hAnsi="Arial"/>
        </w:rPr>
        <w:t>yüzde 11 artırmış oldu.</w:t>
      </w:r>
    </w:p>
    <w:p w:rsidR="0034201E" w:rsidRPr="0034201E" w:rsidRDefault="0034201E" w:rsidP="00E712D2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1B55C6" w:rsidRDefault="001B55C6" w:rsidP="00E712D2">
      <w:pPr>
        <w:spacing w:after="0" w:line="240" w:lineRule="auto"/>
        <w:jc w:val="both"/>
        <w:rPr>
          <w:rFonts w:ascii="Arial" w:hAnsi="Arial"/>
          <w:b/>
        </w:rPr>
      </w:pPr>
    </w:p>
    <w:p w:rsidR="001B55C6" w:rsidRDefault="001B55C6" w:rsidP="00E712D2">
      <w:pPr>
        <w:spacing w:after="0" w:line="240" w:lineRule="auto"/>
        <w:jc w:val="both"/>
        <w:rPr>
          <w:rFonts w:ascii="Arial" w:hAnsi="Arial"/>
          <w:b/>
        </w:rPr>
      </w:pPr>
    </w:p>
    <w:p w:rsidR="004B3658" w:rsidRDefault="004B3658" w:rsidP="00E712D2">
      <w:pPr>
        <w:spacing w:after="0" w:line="240" w:lineRule="auto"/>
        <w:jc w:val="both"/>
        <w:rPr>
          <w:rFonts w:ascii="Arial" w:hAnsi="Arial"/>
          <w:b/>
        </w:rPr>
      </w:pPr>
    </w:p>
    <w:p w:rsidR="00C00CDB" w:rsidRDefault="00C00CDB" w:rsidP="00E712D2">
      <w:pPr>
        <w:spacing w:after="0" w:line="240" w:lineRule="auto"/>
        <w:jc w:val="both"/>
        <w:rPr>
          <w:rFonts w:ascii="Arial" w:hAnsi="Arial"/>
          <w:b/>
        </w:rPr>
      </w:pPr>
    </w:p>
    <w:p w:rsidR="00C00CDB" w:rsidRDefault="00C00CDB" w:rsidP="00E712D2">
      <w:pPr>
        <w:spacing w:after="0" w:line="240" w:lineRule="auto"/>
        <w:jc w:val="both"/>
        <w:rPr>
          <w:rFonts w:ascii="Arial" w:hAnsi="Arial"/>
          <w:b/>
        </w:rPr>
      </w:pPr>
    </w:p>
    <w:p w:rsidR="004B3658" w:rsidRDefault="004B3658" w:rsidP="00E712D2">
      <w:pPr>
        <w:spacing w:after="0" w:line="240" w:lineRule="auto"/>
        <w:jc w:val="both"/>
        <w:rPr>
          <w:rFonts w:ascii="Arial" w:hAnsi="Arial"/>
          <w:b/>
        </w:rPr>
      </w:pPr>
    </w:p>
    <w:p w:rsidR="0034201E" w:rsidRPr="0034201E" w:rsidRDefault="008B31AF" w:rsidP="00C00CDB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hAnsi="Arial"/>
          <w:b/>
        </w:rPr>
        <w:lastRenderedPageBreak/>
        <w:t>İttifak</w:t>
      </w:r>
      <w:r w:rsidR="0034201E">
        <w:rPr>
          <w:rFonts w:ascii="Arial" w:hAnsi="Arial"/>
          <w:b/>
        </w:rPr>
        <w:t xml:space="preserve"> 2022 stratejik planı</w:t>
      </w:r>
      <w:r w:rsidR="0034201E">
        <w:rPr>
          <w:rFonts w:ascii="Times New Roman" w:hAnsi="Times New Roman"/>
          <w:sz w:val="24"/>
          <w:szCs w:val="24"/>
        </w:rPr>
        <w:t xml:space="preserve"> </w:t>
      </w:r>
    </w:p>
    <w:p w:rsidR="00856347" w:rsidRPr="00487688" w:rsidRDefault="00796127" w:rsidP="00E712D2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Renault-Nissan-Mitsubishi, </w:t>
      </w:r>
      <w:r w:rsidR="008B31AF">
        <w:rPr>
          <w:rFonts w:ascii="Arial" w:hAnsi="Arial"/>
        </w:rPr>
        <w:t>İttifak</w:t>
      </w:r>
      <w:r w:rsidR="0034201E">
        <w:rPr>
          <w:rFonts w:ascii="Arial" w:hAnsi="Arial"/>
        </w:rPr>
        <w:t xml:space="preserve"> 2022 stratejik planının bir parç</w:t>
      </w:r>
      <w:r>
        <w:rPr>
          <w:rFonts w:ascii="Arial" w:hAnsi="Arial"/>
        </w:rPr>
        <w:t xml:space="preserve">ası olarak </w:t>
      </w:r>
      <w:r w:rsidR="008B31AF">
        <w:rPr>
          <w:rFonts w:ascii="Arial" w:hAnsi="Arial"/>
        </w:rPr>
        <w:t xml:space="preserve">2022 sonu </w:t>
      </w:r>
      <w:proofErr w:type="spellStart"/>
      <w:r w:rsidR="008B31AF">
        <w:rPr>
          <w:rFonts w:ascii="Arial" w:hAnsi="Arial"/>
        </w:rPr>
        <w:t>itibariyla</w:t>
      </w:r>
      <w:proofErr w:type="spellEnd"/>
      <w:r w:rsidR="0034201E">
        <w:rPr>
          <w:rFonts w:ascii="Arial" w:hAnsi="Arial"/>
        </w:rPr>
        <w:t>, yıllık toplam 10 milyar Euro gelir artış</w:t>
      </w:r>
      <w:r>
        <w:rPr>
          <w:rFonts w:ascii="Arial" w:hAnsi="Arial"/>
        </w:rPr>
        <w:t>ı elde edeceğini öngörüyor</w:t>
      </w:r>
      <w:r w:rsidR="00487286">
        <w:rPr>
          <w:rFonts w:ascii="Arial" w:hAnsi="Arial"/>
        </w:rPr>
        <w:t xml:space="preserve">. </w:t>
      </w:r>
      <w:r w:rsidR="00A73C37">
        <w:rPr>
          <w:rFonts w:ascii="Arial" w:hAnsi="Arial"/>
        </w:rPr>
        <w:t xml:space="preserve">Bu dönemde </w:t>
      </w:r>
      <w:r w:rsidR="00B10882">
        <w:rPr>
          <w:rFonts w:ascii="Arial" w:hAnsi="Arial"/>
        </w:rPr>
        <w:t xml:space="preserve">12 adet sıfır </w:t>
      </w:r>
      <w:proofErr w:type="gramStart"/>
      <w:r w:rsidR="00B10882">
        <w:rPr>
          <w:rFonts w:ascii="Arial" w:hAnsi="Arial"/>
        </w:rPr>
        <w:t>emisyonlu</w:t>
      </w:r>
      <w:proofErr w:type="gramEnd"/>
      <w:r w:rsidR="00B10882">
        <w:rPr>
          <w:rFonts w:ascii="Arial" w:hAnsi="Arial"/>
        </w:rPr>
        <w:t xml:space="preserve"> </w:t>
      </w:r>
      <w:bookmarkStart w:id="0" w:name="_GoBack"/>
      <w:bookmarkEnd w:id="0"/>
      <w:r w:rsidR="0034201E">
        <w:rPr>
          <w:rFonts w:ascii="Arial" w:hAnsi="Arial"/>
        </w:rPr>
        <w:t>elektrikli</w:t>
      </w:r>
      <w:r w:rsidR="00A73C37">
        <w:rPr>
          <w:rFonts w:ascii="Arial" w:hAnsi="Arial"/>
        </w:rPr>
        <w:t xml:space="preserve"> aracın yanı sıra</w:t>
      </w:r>
      <w:r w:rsidR="0034201E">
        <w:rPr>
          <w:rFonts w:ascii="Arial" w:hAnsi="Arial"/>
        </w:rPr>
        <w:t xml:space="preserve"> </w:t>
      </w:r>
      <w:r w:rsidR="00DD50EE">
        <w:rPr>
          <w:rFonts w:ascii="Arial" w:hAnsi="Arial"/>
        </w:rPr>
        <w:t xml:space="preserve">40 adet </w:t>
      </w:r>
      <w:r w:rsidR="0034201E">
        <w:rPr>
          <w:rFonts w:ascii="Arial" w:hAnsi="Arial"/>
        </w:rPr>
        <w:t>o</w:t>
      </w:r>
      <w:r w:rsidR="00937A30">
        <w:rPr>
          <w:rFonts w:ascii="Arial" w:hAnsi="Arial"/>
        </w:rPr>
        <w:t>tonom sürüş teknolojisine sahip</w:t>
      </w:r>
      <w:r w:rsidR="00DD50EE">
        <w:rPr>
          <w:rFonts w:ascii="Arial" w:hAnsi="Arial"/>
        </w:rPr>
        <w:t xml:space="preserve"> </w:t>
      </w:r>
      <w:r w:rsidR="0034201E">
        <w:rPr>
          <w:rFonts w:ascii="Arial" w:hAnsi="Arial"/>
        </w:rPr>
        <w:t>ara</w:t>
      </w:r>
      <w:r w:rsidR="00A73C37">
        <w:rPr>
          <w:rFonts w:ascii="Arial" w:hAnsi="Arial"/>
        </w:rPr>
        <w:t xml:space="preserve">cın da </w:t>
      </w:r>
      <w:proofErr w:type="spellStart"/>
      <w:r w:rsidR="00A73C37">
        <w:rPr>
          <w:rFonts w:ascii="Arial" w:hAnsi="Arial"/>
        </w:rPr>
        <w:t>lansmanlarının</w:t>
      </w:r>
      <w:proofErr w:type="spellEnd"/>
      <w:r w:rsidR="00A73C37">
        <w:rPr>
          <w:rFonts w:ascii="Arial" w:hAnsi="Arial"/>
        </w:rPr>
        <w:t xml:space="preserve"> yapılması</w:t>
      </w:r>
      <w:r w:rsidR="00487286">
        <w:rPr>
          <w:rFonts w:ascii="Arial" w:hAnsi="Arial"/>
        </w:rPr>
        <w:t xml:space="preserve"> planlanıyor.</w:t>
      </w:r>
      <w:r w:rsidR="0034201E">
        <w:rPr>
          <w:rFonts w:ascii="Arial" w:hAnsi="Arial"/>
        </w:rPr>
        <w:t xml:space="preserve"> </w:t>
      </w:r>
    </w:p>
    <w:p w:rsidR="0034201E" w:rsidRPr="00487688" w:rsidRDefault="0034201E" w:rsidP="00E712D2">
      <w:pPr>
        <w:spacing w:after="0" w:line="240" w:lineRule="auto"/>
        <w:jc w:val="both"/>
        <w:rPr>
          <w:rFonts w:ascii="Arial" w:hAnsi="Arial"/>
        </w:rPr>
      </w:pPr>
      <w:r w:rsidRPr="00487688">
        <w:rPr>
          <w:rFonts w:ascii="Arial" w:hAnsi="Arial"/>
        </w:rPr>
        <w:t>Yeni modellerin ve</w:t>
      </w:r>
      <w:r w:rsidR="00493963">
        <w:rPr>
          <w:rFonts w:ascii="Arial" w:hAnsi="Arial"/>
        </w:rPr>
        <w:t xml:space="preserve"> teknolojilerin pazara sunulması</w:t>
      </w:r>
      <w:r w:rsidR="006C72CE">
        <w:rPr>
          <w:rFonts w:ascii="Arial" w:hAnsi="Arial"/>
        </w:rPr>
        <w:t xml:space="preserve"> sayesinde, 2022 sonu </w:t>
      </w:r>
      <w:proofErr w:type="spellStart"/>
      <w:r w:rsidR="006C72CE">
        <w:rPr>
          <w:rFonts w:ascii="Arial" w:hAnsi="Arial"/>
        </w:rPr>
        <w:t>itibariyla</w:t>
      </w:r>
      <w:proofErr w:type="spellEnd"/>
      <w:r w:rsidRPr="00487688">
        <w:rPr>
          <w:rFonts w:ascii="Arial" w:hAnsi="Arial"/>
        </w:rPr>
        <w:t xml:space="preserve"> </w:t>
      </w:r>
      <w:r>
        <w:rPr>
          <w:rFonts w:ascii="Arial" w:hAnsi="Arial"/>
        </w:rPr>
        <w:t>Renaul</w:t>
      </w:r>
      <w:r w:rsidR="00937A30">
        <w:rPr>
          <w:rFonts w:ascii="Arial" w:hAnsi="Arial"/>
        </w:rPr>
        <w:t>t-Nissan-Mitsubishi İt</w:t>
      </w:r>
      <w:r w:rsidR="007B1C68">
        <w:rPr>
          <w:rFonts w:ascii="Arial" w:hAnsi="Arial"/>
        </w:rPr>
        <w:t>tifakı</w:t>
      </w:r>
      <w:r w:rsidR="00937A30">
        <w:rPr>
          <w:rFonts w:ascii="Arial" w:hAnsi="Arial"/>
        </w:rPr>
        <w:t>’</w:t>
      </w:r>
      <w:r w:rsidR="007B1C68">
        <w:rPr>
          <w:rFonts w:ascii="Arial" w:hAnsi="Arial"/>
        </w:rPr>
        <w:t>nın</w:t>
      </w:r>
      <w:r>
        <w:rPr>
          <w:rFonts w:ascii="Arial" w:hAnsi="Arial"/>
        </w:rPr>
        <w:t xml:space="preserve"> toplam yıllık satışlarının 14 milyonun üzerine çıkaca</w:t>
      </w:r>
      <w:r w:rsidR="006C72CE">
        <w:rPr>
          <w:rFonts w:ascii="Arial" w:hAnsi="Arial"/>
        </w:rPr>
        <w:t>ğı ve</w:t>
      </w:r>
      <w:r>
        <w:rPr>
          <w:rFonts w:ascii="Arial" w:hAnsi="Arial"/>
        </w:rPr>
        <w:t xml:space="preserve"> 240 milyar dolar</w:t>
      </w:r>
      <w:r w:rsidR="00493963">
        <w:rPr>
          <w:rFonts w:ascii="Arial" w:hAnsi="Arial"/>
        </w:rPr>
        <w:t xml:space="preserve"> </w:t>
      </w:r>
      <w:r w:rsidR="00937A30">
        <w:rPr>
          <w:rFonts w:ascii="Arial" w:hAnsi="Arial"/>
        </w:rPr>
        <w:t xml:space="preserve">ciro elde edeceği </w:t>
      </w:r>
      <w:r w:rsidR="00493963">
        <w:rPr>
          <w:rFonts w:ascii="Arial" w:hAnsi="Arial"/>
        </w:rPr>
        <w:t>öngörülüyor.</w:t>
      </w:r>
    </w:p>
    <w:p w:rsidR="002A2A81" w:rsidRDefault="002A2A81" w:rsidP="0034201E">
      <w:pPr>
        <w:spacing w:after="0" w:line="240" w:lineRule="auto"/>
        <w:rPr>
          <w:rFonts w:ascii="Arial" w:eastAsia="Times New Roman" w:hAnsi="Arial" w:cs="Arial"/>
        </w:rPr>
      </w:pPr>
    </w:p>
    <w:p w:rsidR="002A2A81" w:rsidRPr="0034201E" w:rsidRDefault="002A2A81" w:rsidP="0034201E">
      <w:pPr>
        <w:spacing w:after="0" w:line="240" w:lineRule="auto"/>
        <w:rPr>
          <w:rFonts w:ascii="Arial" w:eastAsia="Times New Roman" w:hAnsi="Arial" w:cs="Arial"/>
        </w:rPr>
      </w:pPr>
    </w:p>
    <w:p w:rsidR="0034201E" w:rsidRPr="00CF289C" w:rsidRDefault="00E64DF5" w:rsidP="0034201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6090F"/>
        </w:rPr>
      </w:pPr>
      <w:r>
        <w:rPr>
          <w:rFonts w:ascii="Arial" w:hAnsi="Arial"/>
          <w:b/>
          <w:bCs/>
          <w:color w:val="06090F"/>
          <w:u w:val="single"/>
        </w:rPr>
        <w:t>İttifak</w:t>
      </w:r>
      <w:r w:rsidR="0034201E">
        <w:rPr>
          <w:rFonts w:ascii="Arial" w:hAnsi="Arial"/>
          <w:b/>
          <w:bCs/>
          <w:color w:val="06090F"/>
          <w:u w:val="single"/>
        </w:rPr>
        <w:t xml:space="preserve"> İlk 10 Pazar</w:t>
      </w:r>
    </w:p>
    <w:tbl>
      <w:tblPr>
        <w:tblW w:w="93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2"/>
        <w:gridCol w:w="3250"/>
        <w:gridCol w:w="2872"/>
      </w:tblGrid>
      <w:tr w:rsidR="000941C4" w:rsidRPr="000941C4" w:rsidTr="0018065B">
        <w:trPr>
          <w:tblCellSpacing w:w="0" w:type="dxa"/>
        </w:trPr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65B" w:rsidRPr="000941C4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b/>
                <w:bCs/>
              </w:rPr>
              <w:t>Ülke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65B" w:rsidRPr="000941C4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b/>
                <w:bCs/>
              </w:rPr>
              <w:t>Toplam Satış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0C33AC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/>
                <w:b/>
              </w:rPr>
              <w:t>Pazar Payı</w:t>
            </w:r>
          </w:p>
        </w:tc>
      </w:tr>
      <w:tr w:rsidR="000941C4" w:rsidRPr="000941C4" w:rsidTr="0018065B">
        <w:trPr>
          <w:tblCellSpacing w:w="0" w:type="dxa"/>
        </w:trPr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Çin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1.719.815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CE0A95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%6,2</w:t>
            </w:r>
          </w:p>
        </w:tc>
      </w:tr>
      <w:tr w:rsidR="000941C4" w:rsidRPr="000941C4" w:rsidTr="0018065B">
        <w:trPr>
          <w:tblCellSpacing w:w="0" w:type="dxa"/>
        </w:trPr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A.B.D.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1.697.149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CE0A95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%9,8</w:t>
            </w:r>
          </w:p>
        </w:tc>
      </w:tr>
      <w:tr w:rsidR="000941C4" w:rsidRPr="000941C4" w:rsidTr="0018065B">
        <w:trPr>
          <w:tblCellSpacing w:w="0" w:type="dxa"/>
        </w:trPr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Fransa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759.598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CE0A95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%29,8</w:t>
            </w:r>
          </w:p>
        </w:tc>
      </w:tr>
      <w:tr w:rsidR="000941C4" w:rsidRPr="000941C4" w:rsidTr="0018065B">
        <w:trPr>
          <w:tblCellSpacing w:w="0" w:type="dxa"/>
        </w:trPr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Japonya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689.650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CE0A95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%13,2</w:t>
            </w:r>
          </w:p>
        </w:tc>
      </w:tr>
      <w:tr w:rsidR="000941C4" w:rsidRPr="000941C4" w:rsidTr="0018065B">
        <w:trPr>
          <w:tblCellSpacing w:w="0" w:type="dxa"/>
        </w:trPr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Rusya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18065B" w:rsidP="002C22E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578.082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CE0A95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%36,1</w:t>
            </w:r>
          </w:p>
        </w:tc>
      </w:tr>
      <w:tr w:rsidR="000941C4" w:rsidRPr="000941C4" w:rsidTr="0018065B">
        <w:trPr>
          <w:tblCellSpacing w:w="0" w:type="dxa"/>
        </w:trPr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Meksika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412.029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CE0A95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%27,0</w:t>
            </w:r>
          </w:p>
        </w:tc>
      </w:tr>
      <w:tr w:rsidR="0018065B" w:rsidRPr="00CF289C" w:rsidTr="0018065B">
        <w:trPr>
          <w:tblCellSpacing w:w="0" w:type="dxa"/>
        </w:trPr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CF289C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Almanya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CF289C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349.376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CE0A95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%9,4</w:t>
            </w:r>
          </w:p>
        </w:tc>
      </w:tr>
      <w:tr w:rsidR="0018065B" w:rsidRPr="00CF289C" w:rsidTr="0018065B">
        <w:trPr>
          <w:tblCellSpacing w:w="0" w:type="dxa"/>
        </w:trPr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CF289C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İngiltere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CF289C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309.172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CE0A95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%10,6</w:t>
            </w:r>
          </w:p>
        </w:tc>
      </w:tr>
      <w:tr w:rsidR="0018065B" w:rsidRPr="00CF289C" w:rsidTr="0018065B">
        <w:trPr>
          <w:tblCellSpacing w:w="0" w:type="dxa"/>
        </w:trPr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CF289C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İtalya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CF289C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293.362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CE0A95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%13,6</w:t>
            </w:r>
          </w:p>
        </w:tc>
      </w:tr>
      <w:tr w:rsidR="0018065B" w:rsidRPr="00CF289C" w:rsidTr="0018065B">
        <w:trPr>
          <w:tblCellSpacing w:w="0" w:type="dxa"/>
        </w:trPr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CF289C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Brezilya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CF289C" w:rsidRDefault="0018065B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267.835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5B" w:rsidRPr="000941C4" w:rsidRDefault="00CE0A95" w:rsidP="00180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%12,3</w:t>
            </w:r>
          </w:p>
        </w:tc>
      </w:tr>
    </w:tbl>
    <w:p w:rsidR="0034201E" w:rsidRPr="0034201E" w:rsidRDefault="0034201E" w:rsidP="0034201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6090F"/>
          <w:u w:val="single"/>
          <w:lang w:val="en-GB" w:eastAsia="en-GB"/>
        </w:rPr>
      </w:pPr>
    </w:p>
    <w:p w:rsidR="0034201E" w:rsidRPr="0034201E" w:rsidRDefault="0034201E" w:rsidP="0034201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6090F"/>
        </w:rPr>
      </w:pPr>
      <w:r>
        <w:rPr>
          <w:rFonts w:ascii="Arial" w:hAnsi="Arial"/>
          <w:b/>
          <w:bCs/>
          <w:color w:val="06090F"/>
          <w:u w:val="single"/>
        </w:rPr>
        <w:t>Renault</w:t>
      </w:r>
      <w:r w:rsidR="004A6FB7">
        <w:rPr>
          <w:rFonts w:ascii="Arial" w:hAnsi="Arial"/>
          <w:b/>
          <w:bCs/>
          <w:color w:val="06090F"/>
          <w:u w:val="single"/>
        </w:rPr>
        <w:t xml:space="preserve"> Grubu</w:t>
      </w:r>
      <w:r>
        <w:rPr>
          <w:rFonts w:ascii="Arial" w:hAnsi="Arial"/>
          <w:b/>
          <w:bCs/>
          <w:color w:val="06090F"/>
          <w:u w:val="single"/>
        </w:rPr>
        <w:t xml:space="preserve"> İlk 10 Pazar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74"/>
      </w:tblGrid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b/>
                <w:bCs/>
                <w:color w:val="06090F"/>
              </w:rPr>
              <w:t>Ülke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b/>
                <w:bCs/>
                <w:color w:val="06090F"/>
              </w:rPr>
              <w:t>Toplam Satış*</w:t>
            </w:r>
          </w:p>
        </w:tc>
      </w:tr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Fransa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673.852</w:t>
            </w:r>
          </w:p>
        </w:tc>
      </w:tr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Rusya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448.270</w:t>
            </w:r>
          </w:p>
        </w:tc>
      </w:tr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Almanya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228.046</w:t>
            </w:r>
          </w:p>
        </w:tc>
      </w:tr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İtalya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215.901</w:t>
            </w:r>
          </w:p>
        </w:tc>
      </w:tr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İspanya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185.760</w:t>
            </w:r>
          </w:p>
        </w:tc>
      </w:tr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Türkiye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178.646</w:t>
            </w:r>
          </w:p>
        </w:tc>
      </w:tr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Brezilya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167.147</w:t>
            </w:r>
          </w:p>
        </w:tc>
      </w:tr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İran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162.079</w:t>
            </w:r>
          </w:p>
        </w:tc>
      </w:tr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İngiltere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115.262</w:t>
            </w:r>
          </w:p>
        </w:tc>
      </w:tr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Arjantin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6090F"/>
              </w:rPr>
            </w:pPr>
            <w:r>
              <w:rPr>
                <w:rFonts w:ascii="Arial" w:hAnsi="Arial"/>
                <w:color w:val="06090F"/>
              </w:rPr>
              <w:t>115.243</w:t>
            </w:r>
          </w:p>
        </w:tc>
      </w:tr>
    </w:tbl>
    <w:p w:rsidR="0034201E" w:rsidRPr="0034201E" w:rsidRDefault="0034201E" w:rsidP="0034201E">
      <w:pPr>
        <w:shd w:val="clear" w:color="auto" w:fill="FFFFFF"/>
        <w:spacing w:after="300" w:line="240" w:lineRule="auto"/>
        <w:rPr>
          <w:rFonts w:ascii="Arial" w:eastAsia="Times New Roman" w:hAnsi="Arial" w:cs="Arial"/>
          <w:i/>
          <w:color w:val="06090F"/>
          <w:sz w:val="16"/>
          <w:szCs w:val="16"/>
        </w:rPr>
      </w:pPr>
      <w:r>
        <w:rPr>
          <w:rFonts w:ascii="Arial" w:hAnsi="Arial"/>
          <w:i/>
          <w:color w:val="06090F"/>
          <w:sz w:val="16"/>
          <w:szCs w:val="16"/>
        </w:rPr>
        <w:t xml:space="preserve">* </w:t>
      </w:r>
      <w:proofErr w:type="spellStart"/>
      <w:r>
        <w:rPr>
          <w:rFonts w:ascii="Arial" w:hAnsi="Arial"/>
          <w:i/>
          <w:color w:val="06090F"/>
          <w:sz w:val="16"/>
          <w:szCs w:val="16"/>
        </w:rPr>
        <w:t>Twizy</w:t>
      </w:r>
      <w:proofErr w:type="spellEnd"/>
      <w:r>
        <w:rPr>
          <w:rFonts w:ascii="Arial" w:hAnsi="Arial"/>
          <w:i/>
          <w:color w:val="06090F"/>
          <w:sz w:val="16"/>
          <w:szCs w:val="16"/>
        </w:rPr>
        <w:t xml:space="preserve"> hariç 2017 tüm yıl (satışlar)</w:t>
      </w:r>
    </w:p>
    <w:p w:rsidR="000804C3" w:rsidRDefault="000804C3" w:rsidP="0034201E">
      <w:pPr>
        <w:spacing w:after="0" w:line="240" w:lineRule="auto"/>
        <w:rPr>
          <w:rFonts w:ascii="Arial" w:hAnsi="Arial"/>
          <w:b/>
          <w:u w:val="single"/>
        </w:rPr>
      </w:pPr>
    </w:p>
    <w:p w:rsidR="000804C3" w:rsidRDefault="000804C3" w:rsidP="0034201E">
      <w:pPr>
        <w:spacing w:after="0" w:line="240" w:lineRule="auto"/>
        <w:rPr>
          <w:rFonts w:ascii="Arial" w:hAnsi="Arial"/>
          <w:b/>
          <w:u w:val="single"/>
        </w:rPr>
      </w:pPr>
    </w:p>
    <w:p w:rsidR="000804C3" w:rsidRDefault="000804C3" w:rsidP="0034201E">
      <w:pPr>
        <w:spacing w:after="0" w:line="240" w:lineRule="auto"/>
        <w:rPr>
          <w:rFonts w:ascii="Arial" w:hAnsi="Arial"/>
          <w:b/>
          <w:u w:val="single"/>
        </w:rPr>
      </w:pPr>
    </w:p>
    <w:p w:rsidR="0034201E" w:rsidRPr="0034201E" w:rsidRDefault="0034201E" w:rsidP="0034201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Nissan İlk 10 Pazar</w:t>
      </w:r>
    </w:p>
    <w:p w:rsidR="0034201E" w:rsidRPr="0034201E" w:rsidRDefault="0034201E" w:rsidP="0034201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pPr w:leftFromText="133" w:rightFromText="133" w:vertAnchor="text"/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74"/>
      </w:tblGrid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/>
                <w:b/>
              </w:rPr>
              <w:t>Ülke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/>
                <w:b/>
              </w:rPr>
              <w:t>Toplam Satış</w:t>
            </w:r>
          </w:p>
        </w:tc>
      </w:tr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A.B.D.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1.593.464</w:t>
            </w:r>
          </w:p>
        </w:tc>
      </w:tr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Çin*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1.519.714</w:t>
            </w:r>
          </w:p>
        </w:tc>
      </w:tr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Japonya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590.905</w:t>
            </w:r>
          </w:p>
        </w:tc>
      </w:tr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Meksika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366.544</w:t>
            </w:r>
          </w:p>
        </w:tc>
      </w:tr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İngiltere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167.379</w:t>
            </w:r>
          </w:p>
        </w:tc>
      </w:tr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Kanada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146.677</w:t>
            </w:r>
          </w:p>
        </w:tc>
      </w:tr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Rusya**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C" w:rsidRPr="0034201E" w:rsidRDefault="00715D7C" w:rsidP="0056637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107.168</w:t>
            </w:r>
          </w:p>
        </w:tc>
      </w:tr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Fransa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81.293</w:t>
            </w:r>
          </w:p>
        </w:tc>
      </w:tr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Brezilya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78.823</w:t>
            </w:r>
          </w:p>
        </w:tc>
      </w:tr>
      <w:tr w:rsidR="00715D7C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Almanya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5D7C" w:rsidRPr="0034201E" w:rsidRDefault="00715D7C" w:rsidP="003420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76.133</w:t>
            </w:r>
          </w:p>
        </w:tc>
      </w:tr>
    </w:tbl>
    <w:p w:rsidR="004A6FB7" w:rsidRPr="00E64DF5" w:rsidRDefault="0034201E" w:rsidP="0034201E">
      <w:pPr>
        <w:shd w:val="clear" w:color="auto" w:fill="FFFFFF"/>
        <w:spacing w:after="300" w:line="240" w:lineRule="auto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 *</w:t>
      </w:r>
      <w:proofErr w:type="spellStart"/>
      <w:r>
        <w:rPr>
          <w:rFonts w:ascii="Arial" w:hAnsi="Arial"/>
          <w:i/>
          <w:sz w:val="16"/>
          <w:szCs w:val="16"/>
        </w:rPr>
        <w:t>Venucia</w:t>
      </w:r>
      <w:proofErr w:type="spellEnd"/>
      <w:r>
        <w:rPr>
          <w:rFonts w:ascii="Arial" w:hAnsi="Arial"/>
          <w:i/>
          <w:sz w:val="16"/>
          <w:szCs w:val="16"/>
        </w:rPr>
        <w:t xml:space="preserve"> markası </w:t>
      </w:r>
      <w:proofErr w:type="gramStart"/>
      <w:r>
        <w:rPr>
          <w:rFonts w:ascii="Arial" w:hAnsi="Arial"/>
          <w:i/>
          <w:sz w:val="16"/>
          <w:szCs w:val="16"/>
        </w:rPr>
        <w:t>dahil</w:t>
      </w:r>
      <w:proofErr w:type="gramEnd"/>
      <w:r>
        <w:rPr>
          <w:rFonts w:ascii="Arial" w:hAnsi="Arial"/>
          <w:i/>
          <w:sz w:val="16"/>
          <w:szCs w:val="16"/>
        </w:rPr>
        <w:t xml:space="preserve"> ** Kazakistan dahil </w:t>
      </w:r>
    </w:p>
    <w:p w:rsidR="004A6FB7" w:rsidRDefault="004A6FB7" w:rsidP="0034201E">
      <w:pPr>
        <w:shd w:val="clear" w:color="auto" w:fill="FFFFFF"/>
        <w:spacing w:after="300" w:line="240" w:lineRule="auto"/>
        <w:rPr>
          <w:rFonts w:ascii="Arial" w:hAnsi="Arial"/>
          <w:b/>
          <w:bCs/>
          <w:color w:val="06090F"/>
          <w:u w:val="single"/>
        </w:rPr>
      </w:pPr>
    </w:p>
    <w:p w:rsidR="0034201E" w:rsidRPr="0034201E" w:rsidRDefault="00937A30" w:rsidP="0034201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6090F"/>
        </w:rPr>
      </w:pPr>
      <w:r>
        <w:rPr>
          <w:rFonts w:ascii="Arial" w:hAnsi="Arial"/>
          <w:b/>
          <w:bCs/>
          <w:color w:val="06090F"/>
          <w:u w:val="single"/>
        </w:rPr>
        <w:t xml:space="preserve">Mitsubishi </w:t>
      </w:r>
      <w:proofErr w:type="spellStart"/>
      <w:r>
        <w:rPr>
          <w:rFonts w:ascii="Arial" w:hAnsi="Arial"/>
          <w:b/>
          <w:bCs/>
          <w:color w:val="06090F"/>
          <w:u w:val="single"/>
        </w:rPr>
        <w:t>Motors</w:t>
      </w:r>
      <w:proofErr w:type="spellEnd"/>
      <w:r>
        <w:rPr>
          <w:rFonts w:ascii="Arial" w:hAnsi="Arial"/>
          <w:b/>
          <w:bCs/>
          <w:color w:val="06090F"/>
          <w:u w:val="single"/>
        </w:rPr>
        <w:t xml:space="preserve"> </w:t>
      </w:r>
      <w:r w:rsidR="0034201E">
        <w:rPr>
          <w:rFonts w:ascii="Arial" w:hAnsi="Arial"/>
          <w:b/>
          <w:bCs/>
          <w:color w:val="06090F"/>
          <w:u w:val="single"/>
        </w:rPr>
        <w:t xml:space="preserve">İlk 10 </w:t>
      </w:r>
      <w:r>
        <w:rPr>
          <w:rFonts w:ascii="Arial" w:hAnsi="Arial"/>
          <w:b/>
          <w:bCs/>
          <w:color w:val="06090F"/>
          <w:u w:val="single"/>
        </w:rPr>
        <w:t>Pazar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74"/>
      </w:tblGrid>
      <w:tr w:rsidR="002D7FD1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FD1" w:rsidRPr="002D7FD1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/>
                <w:b/>
              </w:rPr>
              <w:t>Ülke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FD1" w:rsidRPr="002D7FD1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/>
                <w:b/>
              </w:rPr>
              <w:t>Toplam Satış</w:t>
            </w:r>
          </w:p>
        </w:tc>
      </w:tr>
      <w:tr w:rsidR="002D7FD1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FD1" w:rsidRPr="002D7FD1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Çin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7FD1" w:rsidRPr="002D7FD1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129.160</w:t>
            </w:r>
          </w:p>
        </w:tc>
      </w:tr>
      <w:tr w:rsidR="002D7FD1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FD1" w:rsidRPr="002D7FD1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A.B.D.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7FD1" w:rsidRPr="000941C4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103.685</w:t>
            </w:r>
          </w:p>
        </w:tc>
      </w:tr>
      <w:tr w:rsidR="002D7FD1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FD1" w:rsidRPr="002D7FD1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Japonya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7FD1" w:rsidRPr="000941C4" w:rsidRDefault="002D7FD1" w:rsidP="0056637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91.630</w:t>
            </w:r>
          </w:p>
        </w:tc>
      </w:tr>
      <w:tr w:rsidR="002D7FD1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FD1" w:rsidRPr="002D7FD1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Avustralya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7FD1" w:rsidRPr="002D7FD1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80.674</w:t>
            </w:r>
          </w:p>
        </w:tc>
      </w:tr>
      <w:tr w:rsidR="002D7FD1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FD1" w:rsidRPr="002D7FD1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Endonezya 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7FD1" w:rsidRPr="002D7FD1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79.885</w:t>
            </w:r>
          </w:p>
        </w:tc>
      </w:tr>
      <w:tr w:rsidR="002D7FD1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FD1" w:rsidRPr="002D7FD1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Filipinler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7FD1" w:rsidRPr="002D7FD1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71.097</w:t>
            </w:r>
          </w:p>
        </w:tc>
      </w:tr>
      <w:tr w:rsidR="002D7FD1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FD1" w:rsidRPr="002D7FD1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Tayland 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7FD1" w:rsidRPr="002D7FD1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69.737</w:t>
            </w:r>
          </w:p>
        </w:tc>
      </w:tr>
      <w:tr w:rsidR="002D7FD1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FD1" w:rsidRPr="002D7FD1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Almanya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7FD1" w:rsidRPr="002D7FD1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45.197</w:t>
            </w:r>
          </w:p>
        </w:tc>
      </w:tr>
      <w:tr w:rsidR="002D7FD1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FD1" w:rsidRPr="002D7FD1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İngiltere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7FD1" w:rsidRPr="002D7FD1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26.531</w:t>
            </w:r>
          </w:p>
        </w:tc>
      </w:tr>
      <w:tr w:rsidR="002D7FD1" w:rsidRPr="0034201E" w:rsidTr="00995F0E">
        <w:trPr>
          <w:tblCellSpacing w:w="0" w:type="dxa"/>
        </w:trPr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FD1" w:rsidRPr="002D7FD1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B.A.E. 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7FD1" w:rsidRPr="002D7FD1" w:rsidRDefault="002D7FD1" w:rsidP="002D7F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24.497</w:t>
            </w:r>
          </w:p>
        </w:tc>
      </w:tr>
    </w:tbl>
    <w:p w:rsidR="0034201E" w:rsidRPr="0034201E" w:rsidRDefault="0034201E" w:rsidP="0034201E">
      <w:pPr>
        <w:spacing w:before="240" w:after="240" w:line="240" w:lineRule="auto"/>
        <w:ind w:left="227"/>
        <w:contextualSpacing/>
        <w:rPr>
          <w:rFonts w:ascii="Arial" w:eastAsia="Times New Roman" w:hAnsi="Arial" w:cs="Arial"/>
          <w:bCs/>
          <w:sz w:val="18"/>
          <w:szCs w:val="18"/>
        </w:rPr>
      </w:pPr>
    </w:p>
    <w:p w:rsidR="0034201E" w:rsidRPr="0034201E" w:rsidRDefault="0034201E" w:rsidP="0034201E">
      <w:pPr>
        <w:spacing w:after="0" w:line="240" w:lineRule="auto"/>
        <w:rPr>
          <w:rFonts w:ascii="Arial" w:eastAsia="Times New Roman" w:hAnsi="Arial" w:cs="Arial"/>
          <w:sz w:val="18"/>
          <w:szCs w:val="20"/>
          <w:lang w:val="fr-FR"/>
        </w:rPr>
      </w:pPr>
    </w:p>
    <w:p w:rsidR="003B1B2A" w:rsidRPr="0034201E" w:rsidRDefault="003B1B2A" w:rsidP="003B1B2A">
      <w:pPr>
        <w:spacing w:after="0" w:line="240" w:lineRule="auto"/>
        <w:rPr>
          <w:rFonts w:ascii="Arial" w:eastAsia="Times New Roman" w:hAnsi="Arial" w:cs="Arial"/>
          <w:b/>
          <w:color w:val="EA001B"/>
          <w:sz w:val="28"/>
          <w:szCs w:val="28"/>
          <w:highlight w:val="yellow"/>
          <w:lang w:val="fr-FR"/>
        </w:rPr>
      </w:pPr>
    </w:p>
    <w:sectPr w:rsidR="003B1B2A" w:rsidRPr="0034201E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8F" w:rsidRDefault="00123B8F" w:rsidP="00A2205C">
      <w:pPr>
        <w:spacing w:after="0" w:line="240" w:lineRule="auto"/>
      </w:pPr>
      <w:r>
        <w:separator/>
      </w:r>
    </w:p>
  </w:endnote>
  <w:endnote w:type="continuationSeparator" w:id="0">
    <w:p w:rsidR="00123B8F" w:rsidRDefault="00123B8F" w:rsidP="00A2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41880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841B4" w:rsidRPr="004841B4" w:rsidRDefault="004841B4">
        <w:pPr>
          <w:pStyle w:val="Footer"/>
          <w:jc w:val="right"/>
          <w:rPr>
            <w:sz w:val="16"/>
            <w:szCs w:val="16"/>
          </w:rPr>
        </w:pPr>
        <w:r w:rsidRPr="004841B4">
          <w:rPr>
            <w:sz w:val="16"/>
            <w:szCs w:val="16"/>
          </w:rPr>
          <w:fldChar w:fldCharType="begin"/>
        </w:r>
        <w:r w:rsidRPr="004841B4">
          <w:rPr>
            <w:sz w:val="16"/>
            <w:szCs w:val="16"/>
          </w:rPr>
          <w:instrText>PAGE   \* MERGEFORMAT</w:instrText>
        </w:r>
        <w:r w:rsidRPr="004841B4">
          <w:rPr>
            <w:sz w:val="16"/>
            <w:szCs w:val="16"/>
          </w:rPr>
          <w:fldChar w:fldCharType="separate"/>
        </w:r>
        <w:r w:rsidR="00B10882">
          <w:rPr>
            <w:noProof/>
            <w:sz w:val="16"/>
            <w:szCs w:val="16"/>
          </w:rPr>
          <w:t>3</w:t>
        </w:r>
        <w:r w:rsidRPr="004841B4">
          <w:rPr>
            <w:sz w:val="16"/>
            <w:szCs w:val="16"/>
          </w:rPr>
          <w:fldChar w:fldCharType="end"/>
        </w:r>
      </w:p>
    </w:sdtContent>
  </w:sdt>
  <w:p w:rsidR="00C53E4E" w:rsidRPr="00C53E4E" w:rsidRDefault="00C53E4E" w:rsidP="00C53E4E">
    <w:pPr>
      <w:tabs>
        <w:tab w:val="center" w:pos="4703"/>
        <w:tab w:val="right" w:pos="9406"/>
      </w:tabs>
      <w:spacing w:after="0" w:line="240" w:lineRule="auto"/>
      <w:jc w:val="center"/>
      <w:rPr>
        <w:rFonts w:ascii="Calibri" w:eastAsia="Calibri" w:hAnsi="Calibri" w:cs="Arial"/>
      </w:rPr>
    </w:pPr>
  </w:p>
  <w:p w:rsidR="00C53E4E" w:rsidRPr="00C53E4E" w:rsidRDefault="00C53E4E" w:rsidP="00C53E4E">
    <w:pPr>
      <w:spacing w:after="0" w:line="240" w:lineRule="auto"/>
      <w:rPr>
        <w:rFonts w:ascii="Times" w:eastAsia="Times" w:hAnsi="Times" w:cs="Times New Roman"/>
        <w:sz w:val="24"/>
        <w:szCs w:val="20"/>
        <w:lang w:val="fr-FR"/>
      </w:rPr>
    </w:pPr>
  </w:p>
  <w:p w:rsidR="00C53E4E" w:rsidRPr="00C53E4E" w:rsidRDefault="00C53E4E" w:rsidP="00C53E4E">
    <w:pPr>
      <w:tabs>
        <w:tab w:val="center" w:pos="4703"/>
        <w:tab w:val="right" w:pos="9406"/>
      </w:tabs>
      <w:spacing w:after="0" w:line="240" w:lineRule="auto"/>
      <w:ind w:left="680"/>
      <w:jc w:val="center"/>
      <w:rPr>
        <w:rFonts w:ascii="Arial" w:eastAsia="Calibri" w:hAnsi="Arial" w:cs="Arial"/>
        <w:sz w:val="14"/>
      </w:rPr>
    </w:pPr>
    <w:r w:rsidRPr="00C53E4E">
      <w:rPr>
        <w:rFonts w:ascii="Arial" w:eastAsia="Calibri" w:hAnsi="Arial" w:cs="Arial"/>
        <w:sz w:val="14"/>
      </w:rPr>
      <w:t xml:space="preserve">Basın İletişimi  – Fulya ÖZKAN </w:t>
    </w:r>
  </w:p>
  <w:p w:rsidR="00C53E4E" w:rsidRPr="00C53E4E" w:rsidRDefault="00C53E4E" w:rsidP="00C53E4E">
    <w:pPr>
      <w:tabs>
        <w:tab w:val="center" w:pos="4703"/>
        <w:tab w:val="right" w:pos="9406"/>
      </w:tabs>
      <w:spacing w:after="0" w:line="240" w:lineRule="auto"/>
      <w:ind w:left="680"/>
      <w:jc w:val="center"/>
      <w:rPr>
        <w:rFonts w:ascii="Arial" w:eastAsia="Calibri" w:hAnsi="Arial" w:cs="Arial"/>
        <w:sz w:val="14"/>
      </w:rPr>
    </w:pPr>
    <w:proofErr w:type="gramStart"/>
    <w:r w:rsidRPr="00C53E4E">
      <w:rPr>
        <w:rFonts w:ascii="Arial" w:eastAsia="Calibri" w:hAnsi="Arial" w:cs="Arial"/>
        <w:sz w:val="14"/>
      </w:rPr>
      <w:t>fulya</w:t>
    </w:r>
    <w:proofErr w:type="gramEnd"/>
    <w:r w:rsidRPr="00C53E4E">
      <w:rPr>
        <w:rFonts w:ascii="Arial" w:eastAsia="Calibri" w:hAnsi="Arial" w:cs="Arial"/>
        <w:sz w:val="14"/>
      </w:rPr>
      <w:t>.ozkan@renault.com.tr</w:t>
    </w:r>
  </w:p>
  <w:p w:rsidR="00C53E4E" w:rsidRPr="00C53E4E" w:rsidRDefault="00C53E4E" w:rsidP="00C53E4E">
    <w:pPr>
      <w:tabs>
        <w:tab w:val="center" w:pos="4703"/>
        <w:tab w:val="right" w:pos="9406"/>
      </w:tabs>
      <w:spacing w:after="0" w:line="240" w:lineRule="auto"/>
      <w:ind w:left="680"/>
      <w:jc w:val="center"/>
      <w:rPr>
        <w:rFonts w:ascii="Arial" w:eastAsia="Calibri" w:hAnsi="Arial" w:cs="Arial"/>
        <w:sz w:val="14"/>
      </w:rPr>
    </w:pPr>
    <w:r w:rsidRPr="00C53E4E">
      <w:rPr>
        <w:rFonts w:ascii="Arial" w:eastAsia="Calibri" w:hAnsi="Arial" w:cs="Arial"/>
        <w:sz w:val="14"/>
      </w:rPr>
      <w:t>www.medyarenault.com</w:t>
    </w:r>
  </w:p>
  <w:p w:rsidR="004841B4" w:rsidRDefault="00484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8F" w:rsidRDefault="00123B8F" w:rsidP="00A2205C">
      <w:pPr>
        <w:spacing w:after="0" w:line="240" w:lineRule="auto"/>
      </w:pPr>
      <w:r>
        <w:separator/>
      </w:r>
    </w:p>
  </w:footnote>
  <w:footnote w:type="continuationSeparator" w:id="0">
    <w:p w:rsidR="00123B8F" w:rsidRDefault="00123B8F" w:rsidP="00A22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75pt;height:6pt" o:bullet="t">
        <v:imagedata r:id="rId1" o:title="Felche orange"/>
      </v:shape>
    </w:pict>
  </w:numPicBullet>
  <w:abstractNum w:abstractNumId="0" w15:restartNumberingAfterBreak="0">
    <w:nsid w:val="017C19D1"/>
    <w:multiLevelType w:val="hybridMultilevel"/>
    <w:tmpl w:val="539A9F7C"/>
    <w:lvl w:ilvl="0" w:tplc="4AD08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24F5"/>
    <w:multiLevelType w:val="hybridMultilevel"/>
    <w:tmpl w:val="06E0F792"/>
    <w:lvl w:ilvl="0" w:tplc="16BEE0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74061"/>
    <w:multiLevelType w:val="hybridMultilevel"/>
    <w:tmpl w:val="1DDA9426"/>
    <w:lvl w:ilvl="0" w:tplc="73DC3B58">
      <w:start w:val="1"/>
      <w:numFmt w:val="bullet"/>
      <w:lvlText w:val="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26D8"/>
    <w:multiLevelType w:val="hybridMultilevel"/>
    <w:tmpl w:val="B400F7F2"/>
    <w:lvl w:ilvl="0" w:tplc="9CEE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464A1"/>
    <w:multiLevelType w:val="hybridMultilevel"/>
    <w:tmpl w:val="79A296D8"/>
    <w:lvl w:ilvl="0" w:tplc="32E4D660">
      <w:start w:val="1"/>
      <w:numFmt w:val="bullet"/>
      <w:lvlText w:val="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11D8B"/>
    <w:multiLevelType w:val="hybridMultilevel"/>
    <w:tmpl w:val="2E420636"/>
    <w:lvl w:ilvl="0" w:tplc="73DC3B58">
      <w:start w:val="1"/>
      <w:numFmt w:val="bullet"/>
      <w:lvlText w:val="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62248"/>
    <w:multiLevelType w:val="hybridMultilevel"/>
    <w:tmpl w:val="B0089DD0"/>
    <w:lvl w:ilvl="0" w:tplc="16BEE08A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8335F"/>
    <w:multiLevelType w:val="hybridMultilevel"/>
    <w:tmpl w:val="0F4ACCA8"/>
    <w:lvl w:ilvl="0" w:tplc="32E4D6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2A"/>
    <w:rsid w:val="00022FE8"/>
    <w:rsid w:val="00025034"/>
    <w:rsid w:val="00040790"/>
    <w:rsid w:val="00053BD9"/>
    <w:rsid w:val="000804C3"/>
    <w:rsid w:val="000941C4"/>
    <w:rsid w:val="000B2A17"/>
    <w:rsid w:val="000C33AC"/>
    <w:rsid w:val="000E450C"/>
    <w:rsid w:val="000E55C3"/>
    <w:rsid w:val="00110038"/>
    <w:rsid w:val="00114D99"/>
    <w:rsid w:val="00123B8F"/>
    <w:rsid w:val="00127123"/>
    <w:rsid w:val="0013789F"/>
    <w:rsid w:val="00143FF5"/>
    <w:rsid w:val="00164E81"/>
    <w:rsid w:val="0018065B"/>
    <w:rsid w:val="001A2F62"/>
    <w:rsid w:val="001B2E8E"/>
    <w:rsid w:val="001B55C6"/>
    <w:rsid w:val="001D15C1"/>
    <w:rsid w:val="001E605C"/>
    <w:rsid w:val="00200673"/>
    <w:rsid w:val="00210477"/>
    <w:rsid w:val="002251A8"/>
    <w:rsid w:val="002462B9"/>
    <w:rsid w:val="00247845"/>
    <w:rsid w:val="0025292E"/>
    <w:rsid w:val="00256A1E"/>
    <w:rsid w:val="002719DE"/>
    <w:rsid w:val="002800D6"/>
    <w:rsid w:val="002855D8"/>
    <w:rsid w:val="002A2A81"/>
    <w:rsid w:val="002B0F1F"/>
    <w:rsid w:val="002B3688"/>
    <w:rsid w:val="002C1D82"/>
    <w:rsid w:val="002C22EB"/>
    <w:rsid w:val="002D3921"/>
    <w:rsid w:val="002D7FD1"/>
    <w:rsid w:val="002E347F"/>
    <w:rsid w:val="002E5144"/>
    <w:rsid w:val="0034201E"/>
    <w:rsid w:val="00353F1F"/>
    <w:rsid w:val="00360431"/>
    <w:rsid w:val="0039145B"/>
    <w:rsid w:val="003933DC"/>
    <w:rsid w:val="003A1D55"/>
    <w:rsid w:val="003B1B2A"/>
    <w:rsid w:val="003B468B"/>
    <w:rsid w:val="003B492F"/>
    <w:rsid w:val="003C2B85"/>
    <w:rsid w:val="003C6107"/>
    <w:rsid w:val="003E0301"/>
    <w:rsid w:val="003E3B34"/>
    <w:rsid w:val="003E6F29"/>
    <w:rsid w:val="003F3FBC"/>
    <w:rsid w:val="0041013E"/>
    <w:rsid w:val="00411DF1"/>
    <w:rsid w:val="004141D9"/>
    <w:rsid w:val="004221C5"/>
    <w:rsid w:val="00440AE5"/>
    <w:rsid w:val="00464BAB"/>
    <w:rsid w:val="0047338E"/>
    <w:rsid w:val="004750CB"/>
    <w:rsid w:val="004808D4"/>
    <w:rsid w:val="004841B4"/>
    <w:rsid w:val="00487286"/>
    <w:rsid w:val="00487688"/>
    <w:rsid w:val="00493963"/>
    <w:rsid w:val="004A6FB7"/>
    <w:rsid w:val="004B3658"/>
    <w:rsid w:val="004D0980"/>
    <w:rsid w:val="004F3BDD"/>
    <w:rsid w:val="00512324"/>
    <w:rsid w:val="0054302C"/>
    <w:rsid w:val="00551692"/>
    <w:rsid w:val="0056272A"/>
    <w:rsid w:val="00566376"/>
    <w:rsid w:val="00571A80"/>
    <w:rsid w:val="00577A06"/>
    <w:rsid w:val="00596662"/>
    <w:rsid w:val="005A6BC3"/>
    <w:rsid w:val="005C1A0D"/>
    <w:rsid w:val="005C292D"/>
    <w:rsid w:val="005C7FD2"/>
    <w:rsid w:val="005D2E5A"/>
    <w:rsid w:val="005D3A0A"/>
    <w:rsid w:val="005D3B41"/>
    <w:rsid w:val="005E7635"/>
    <w:rsid w:val="005F2EEC"/>
    <w:rsid w:val="005F38B1"/>
    <w:rsid w:val="006061D8"/>
    <w:rsid w:val="0061768B"/>
    <w:rsid w:val="00624FC2"/>
    <w:rsid w:val="00652116"/>
    <w:rsid w:val="00660C91"/>
    <w:rsid w:val="006805D3"/>
    <w:rsid w:val="00680A35"/>
    <w:rsid w:val="006936C8"/>
    <w:rsid w:val="006A1D32"/>
    <w:rsid w:val="006B0BFE"/>
    <w:rsid w:val="006C3491"/>
    <w:rsid w:val="006C72CE"/>
    <w:rsid w:val="006D11A4"/>
    <w:rsid w:val="006D6EC8"/>
    <w:rsid w:val="00713AF2"/>
    <w:rsid w:val="00715D7C"/>
    <w:rsid w:val="00725431"/>
    <w:rsid w:val="0073106B"/>
    <w:rsid w:val="00741F59"/>
    <w:rsid w:val="00746771"/>
    <w:rsid w:val="007509BB"/>
    <w:rsid w:val="007616D8"/>
    <w:rsid w:val="00765117"/>
    <w:rsid w:val="00776B9F"/>
    <w:rsid w:val="00796127"/>
    <w:rsid w:val="007B1C68"/>
    <w:rsid w:val="007B2015"/>
    <w:rsid w:val="007B7CD4"/>
    <w:rsid w:val="007C089D"/>
    <w:rsid w:val="007C299B"/>
    <w:rsid w:val="007C4F84"/>
    <w:rsid w:val="007C5A49"/>
    <w:rsid w:val="007E2AC4"/>
    <w:rsid w:val="00826BA1"/>
    <w:rsid w:val="00834DA5"/>
    <w:rsid w:val="0084343F"/>
    <w:rsid w:val="008503C8"/>
    <w:rsid w:val="00856347"/>
    <w:rsid w:val="00862354"/>
    <w:rsid w:val="008809A7"/>
    <w:rsid w:val="008A75C2"/>
    <w:rsid w:val="008B31AF"/>
    <w:rsid w:val="008B596D"/>
    <w:rsid w:val="008C48F2"/>
    <w:rsid w:val="008D04B2"/>
    <w:rsid w:val="008E464D"/>
    <w:rsid w:val="009005E9"/>
    <w:rsid w:val="009053A3"/>
    <w:rsid w:val="009158E0"/>
    <w:rsid w:val="009279A5"/>
    <w:rsid w:val="00937A30"/>
    <w:rsid w:val="00942B58"/>
    <w:rsid w:val="0094549B"/>
    <w:rsid w:val="00953C96"/>
    <w:rsid w:val="00956D2E"/>
    <w:rsid w:val="00995F0E"/>
    <w:rsid w:val="009B14D1"/>
    <w:rsid w:val="009E2AF1"/>
    <w:rsid w:val="00A05FF6"/>
    <w:rsid w:val="00A12E6B"/>
    <w:rsid w:val="00A2205C"/>
    <w:rsid w:val="00A44356"/>
    <w:rsid w:val="00A47F4D"/>
    <w:rsid w:val="00A57C4A"/>
    <w:rsid w:val="00A65E4E"/>
    <w:rsid w:val="00A6778C"/>
    <w:rsid w:val="00A73C37"/>
    <w:rsid w:val="00A87C37"/>
    <w:rsid w:val="00A96DCC"/>
    <w:rsid w:val="00AA6FCD"/>
    <w:rsid w:val="00AB6202"/>
    <w:rsid w:val="00AC0B71"/>
    <w:rsid w:val="00AE7053"/>
    <w:rsid w:val="00AE77F5"/>
    <w:rsid w:val="00B00AF3"/>
    <w:rsid w:val="00B10882"/>
    <w:rsid w:val="00B1662A"/>
    <w:rsid w:val="00B201A7"/>
    <w:rsid w:val="00B2538E"/>
    <w:rsid w:val="00B33B6C"/>
    <w:rsid w:val="00B364F8"/>
    <w:rsid w:val="00B46C01"/>
    <w:rsid w:val="00B5692B"/>
    <w:rsid w:val="00B64348"/>
    <w:rsid w:val="00B77FA6"/>
    <w:rsid w:val="00B85410"/>
    <w:rsid w:val="00B96E59"/>
    <w:rsid w:val="00BE12E2"/>
    <w:rsid w:val="00BF470E"/>
    <w:rsid w:val="00C00CDB"/>
    <w:rsid w:val="00C07557"/>
    <w:rsid w:val="00C133FA"/>
    <w:rsid w:val="00C138E7"/>
    <w:rsid w:val="00C17F90"/>
    <w:rsid w:val="00C35623"/>
    <w:rsid w:val="00C40869"/>
    <w:rsid w:val="00C53E4E"/>
    <w:rsid w:val="00C6442B"/>
    <w:rsid w:val="00C72D8C"/>
    <w:rsid w:val="00C758F5"/>
    <w:rsid w:val="00C838DD"/>
    <w:rsid w:val="00C92E5A"/>
    <w:rsid w:val="00CD5AB7"/>
    <w:rsid w:val="00CD7935"/>
    <w:rsid w:val="00CE0A95"/>
    <w:rsid w:val="00CE2F60"/>
    <w:rsid w:val="00CF289C"/>
    <w:rsid w:val="00D31CD5"/>
    <w:rsid w:val="00D408DD"/>
    <w:rsid w:val="00D632B5"/>
    <w:rsid w:val="00D75DFD"/>
    <w:rsid w:val="00D925C0"/>
    <w:rsid w:val="00DA7250"/>
    <w:rsid w:val="00DA78C9"/>
    <w:rsid w:val="00DB782F"/>
    <w:rsid w:val="00DD3E5C"/>
    <w:rsid w:val="00DD50EE"/>
    <w:rsid w:val="00DD6DC1"/>
    <w:rsid w:val="00DE5EE5"/>
    <w:rsid w:val="00DE7CDE"/>
    <w:rsid w:val="00E34AD6"/>
    <w:rsid w:val="00E35258"/>
    <w:rsid w:val="00E4590D"/>
    <w:rsid w:val="00E548FA"/>
    <w:rsid w:val="00E561E6"/>
    <w:rsid w:val="00E567DD"/>
    <w:rsid w:val="00E64DF5"/>
    <w:rsid w:val="00E708E3"/>
    <w:rsid w:val="00E712D2"/>
    <w:rsid w:val="00E7681C"/>
    <w:rsid w:val="00E814F5"/>
    <w:rsid w:val="00EA7523"/>
    <w:rsid w:val="00EB26D5"/>
    <w:rsid w:val="00EE1DF1"/>
    <w:rsid w:val="00EE35C1"/>
    <w:rsid w:val="00F05840"/>
    <w:rsid w:val="00F12738"/>
    <w:rsid w:val="00F365AE"/>
    <w:rsid w:val="00F91B60"/>
    <w:rsid w:val="00F9656F"/>
    <w:rsid w:val="00F97B4D"/>
    <w:rsid w:val="00FA480E"/>
    <w:rsid w:val="00FA541E"/>
    <w:rsid w:val="00FC4959"/>
    <w:rsid w:val="00FD087F"/>
    <w:rsid w:val="00FD0DED"/>
    <w:rsid w:val="00FE2F24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22F851A"/>
  <w15:chartTrackingRefBased/>
  <w15:docId w15:val="{7413F69F-3638-49B0-902B-DF84A95B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82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42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01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201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0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05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2205C"/>
  </w:style>
  <w:style w:type="paragraph" w:styleId="Footer">
    <w:name w:val="footer"/>
    <w:basedOn w:val="Normal"/>
    <w:link w:val="FooterChar"/>
    <w:uiPriority w:val="99"/>
    <w:unhideWhenUsed/>
    <w:rsid w:val="00A2205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2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5399-DC71-4D2F-AD3A-0613773F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SASIA Caroline</dc:creator>
  <cp:keywords/>
  <dc:description/>
  <cp:lastModifiedBy>Enes BATTAL</cp:lastModifiedBy>
  <cp:revision>10</cp:revision>
  <cp:lastPrinted>2018-01-30T09:23:00Z</cp:lastPrinted>
  <dcterms:created xsi:type="dcterms:W3CDTF">2018-01-30T19:42:00Z</dcterms:created>
  <dcterms:modified xsi:type="dcterms:W3CDTF">2018-01-31T05:28:00Z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