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3B" w:rsidRPr="00656F61" w:rsidRDefault="00752671" w:rsidP="00656F61">
      <w:pPr>
        <w:tabs>
          <w:tab w:val="left" w:pos="1110"/>
          <w:tab w:val="center" w:pos="4252"/>
          <w:tab w:val="left" w:pos="6480"/>
        </w:tabs>
        <w:ind w:right="522"/>
        <w:rPr>
          <w:rFonts w:ascii="Arial" w:hAnsi="Arial" w:cs="Arial"/>
          <w:sz w:val="8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B7690" w:rsidRPr="00FB7690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 w:rsidRPr="00FB7690">
        <w:rPr>
          <w:rFonts w:ascii="Arial" w:eastAsia="Arial" w:hAnsi="Arial" w:cs="Arial"/>
          <w:bCs/>
          <w:color w:val="FFC000"/>
          <w:sz w:val="64"/>
          <w:szCs w:val="64"/>
        </w:rPr>
        <w:t xml:space="preserve">Basın </w:t>
      </w:r>
    </w:p>
    <w:p w:rsidR="00FB7690" w:rsidRPr="00FB7690" w:rsidRDefault="008F2D09" w:rsidP="00FB7690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proofErr w:type="spellStart"/>
      <w:r w:rsidRPr="00FB7690">
        <w:rPr>
          <w:rFonts w:ascii="Arial" w:eastAsia="Arial" w:hAnsi="Arial" w:cs="Arial"/>
          <w:bCs/>
          <w:color w:val="FFC000"/>
          <w:sz w:val="64"/>
          <w:szCs w:val="64"/>
        </w:rPr>
        <w:t>Bülteni</w:t>
      </w:r>
      <w:proofErr w:type="spellEnd"/>
    </w:p>
    <w:p w:rsidR="00A0726F" w:rsidRPr="00EE5A42" w:rsidRDefault="00A818C9" w:rsidP="00EE5A42">
      <w:pPr>
        <w:spacing w:before="52"/>
        <w:ind w:left="680" w:right="-23"/>
        <w:rPr>
          <w:rFonts w:ascii="Arial" w:eastAsia="Arial" w:hAnsi="Arial" w:cs="Arial"/>
          <w:bCs/>
          <w:color w:val="FFC000"/>
          <w:sz w:val="64"/>
          <w:szCs w:val="64"/>
        </w:rPr>
      </w:pPr>
      <w:r>
        <w:rPr>
          <w:rFonts w:ascii="Arial" w:eastAsia="Arial" w:hAnsi="Arial" w:cs="Arial"/>
          <w:spacing w:val="1"/>
          <w:position w:val="-1"/>
          <w:sz w:val="20"/>
        </w:rPr>
        <w:t>18</w:t>
      </w:r>
      <w:r w:rsidR="004B579A"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proofErr w:type="spellStart"/>
      <w:r w:rsidR="004B579A">
        <w:rPr>
          <w:rFonts w:ascii="Arial" w:eastAsia="Arial" w:hAnsi="Arial" w:cs="Arial"/>
          <w:spacing w:val="1"/>
          <w:position w:val="-1"/>
          <w:sz w:val="20"/>
        </w:rPr>
        <w:t>Temmuz</w:t>
      </w:r>
      <w:proofErr w:type="spellEnd"/>
      <w:r w:rsidR="00530F73"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r w:rsidR="008132E8">
        <w:rPr>
          <w:rFonts w:ascii="Arial" w:eastAsia="Arial" w:hAnsi="Arial" w:cs="Arial"/>
          <w:spacing w:val="1"/>
          <w:position w:val="-1"/>
          <w:sz w:val="20"/>
        </w:rPr>
        <w:t>2017</w:t>
      </w:r>
    </w:p>
    <w:p w:rsidR="00BD1901" w:rsidRDefault="00BD1901" w:rsidP="006C54EA">
      <w:pPr>
        <w:pStyle w:val="GvdeMetni"/>
        <w:spacing w:line="360" w:lineRule="auto"/>
        <w:ind w:left="2721" w:right="522" w:hanging="1587"/>
        <w:jc w:val="center"/>
        <w:rPr>
          <w:rFonts w:ascii="Arial" w:hAnsi="Arial"/>
          <w:sz w:val="32"/>
          <w:szCs w:val="30"/>
          <w:lang w:val="tr-TR"/>
        </w:rPr>
      </w:pPr>
    </w:p>
    <w:p w:rsidR="004C2E88" w:rsidRDefault="00EF5DDC" w:rsidP="000F7910">
      <w:pPr>
        <w:pStyle w:val="GvdeMetni"/>
        <w:spacing w:line="360" w:lineRule="auto"/>
        <w:ind w:left="2721" w:right="522" w:hanging="1587"/>
        <w:jc w:val="center"/>
        <w:rPr>
          <w:rFonts w:ascii="Arial" w:hAnsi="Arial" w:cs="Arial"/>
        </w:rPr>
      </w:pPr>
      <w:r w:rsidRPr="00EF5DDC">
        <w:rPr>
          <w:rFonts w:ascii="Arial" w:hAnsi="Arial"/>
          <w:sz w:val="32"/>
          <w:szCs w:val="30"/>
          <w:lang w:val="tr-TR"/>
        </w:rPr>
        <w:t>RENAULT GRUBU’NDAN İLK YARIDA REKOR SATIŞ ADEDİ</w:t>
      </w:r>
    </w:p>
    <w:p w:rsidR="00EE5A42" w:rsidRPr="00A818C9" w:rsidRDefault="00EE5A42" w:rsidP="006C54EA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8"/>
        </w:rPr>
      </w:pPr>
    </w:p>
    <w:p w:rsidR="00D61CD0" w:rsidRDefault="00B5415E" w:rsidP="00A818C9">
      <w:pPr>
        <w:pStyle w:val="ListeParagraf"/>
        <w:spacing w:line="360" w:lineRule="auto"/>
        <w:ind w:left="1134" w:right="522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Renault Grubu, yılı</w:t>
      </w:r>
      <w:r w:rsidR="00603BD1">
        <w:rPr>
          <w:rFonts w:ascii="Arial" w:hAnsi="Arial" w:cs="Arial"/>
          <w:b/>
          <w:sz w:val="30"/>
          <w:szCs w:val="30"/>
        </w:rPr>
        <w:t>n</w:t>
      </w:r>
      <w:r w:rsidR="007D0A2D" w:rsidRPr="00AC3350">
        <w:rPr>
          <w:rFonts w:ascii="Arial" w:hAnsi="Arial" w:cs="Arial"/>
          <w:b/>
          <w:sz w:val="30"/>
          <w:szCs w:val="30"/>
        </w:rPr>
        <w:t xml:space="preserve"> ilk yarısında </w:t>
      </w:r>
      <w:r w:rsidR="00BD1901" w:rsidRPr="00AC3350">
        <w:rPr>
          <w:rFonts w:ascii="Arial" w:hAnsi="Arial" w:cs="Arial"/>
          <w:b/>
          <w:sz w:val="30"/>
          <w:szCs w:val="30"/>
        </w:rPr>
        <w:t>yüzde 10,4 artışl</w:t>
      </w:r>
      <w:r w:rsidR="00704511">
        <w:rPr>
          <w:rFonts w:ascii="Arial" w:hAnsi="Arial" w:cs="Arial"/>
          <w:b/>
          <w:sz w:val="30"/>
          <w:szCs w:val="30"/>
        </w:rPr>
        <w:t xml:space="preserve">a 1,88 milyon araç satarak </w:t>
      </w:r>
      <w:r w:rsidR="00EF5DDC" w:rsidRPr="00AC3350">
        <w:rPr>
          <w:rFonts w:ascii="Arial" w:hAnsi="Arial" w:cs="Arial"/>
          <w:b/>
          <w:sz w:val="30"/>
          <w:szCs w:val="30"/>
        </w:rPr>
        <w:t>satış rekoru kırdı.</w:t>
      </w:r>
    </w:p>
    <w:p w:rsidR="00AC3350" w:rsidRPr="00A818C9" w:rsidRDefault="00AC3350" w:rsidP="004F31B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b/>
          <w:sz w:val="14"/>
          <w:szCs w:val="30"/>
        </w:rPr>
      </w:pPr>
    </w:p>
    <w:p w:rsidR="00AC3350" w:rsidRPr="00AC3350" w:rsidRDefault="00B5415E" w:rsidP="00704511">
      <w:pPr>
        <w:pStyle w:val="ListeParagraf"/>
        <w:numPr>
          <w:ilvl w:val="0"/>
          <w:numId w:val="16"/>
        </w:numPr>
        <w:spacing w:line="360" w:lineRule="auto"/>
        <w:ind w:right="522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Renault Grubu, </w:t>
      </w:r>
      <w:r w:rsidR="00AC3350" w:rsidRPr="00AC3350">
        <w:rPr>
          <w:rFonts w:ascii="Arial" w:hAnsi="Arial" w:cs="Arial"/>
          <w:b/>
          <w:sz w:val="26"/>
          <w:szCs w:val="26"/>
        </w:rPr>
        <w:t>2017 yılının ilk yarısında, yüzde 2,6 büyüyen bir pazarda yüzde 10,4’lük artışla 1,88 milyon araç sattı.</w:t>
      </w:r>
    </w:p>
    <w:p w:rsidR="00AC3350" w:rsidRPr="00AC3350" w:rsidRDefault="00AC3350" w:rsidP="00704511">
      <w:pPr>
        <w:pStyle w:val="ListeParagraf"/>
        <w:numPr>
          <w:ilvl w:val="0"/>
          <w:numId w:val="16"/>
        </w:numPr>
        <w:spacing w:line="360" w:lineRule="auto"/>
        <w:ind w:right="522"/>
        <w:jc w:val="both"/>
        <w:rPr>
          <w:rFonts w:ascii="Arial" w:hAnsi="Arial" w:cs="Arial"/>
          <w:b/>
          <w:sz w:val="26"/>
          <w:szCs w:val="26"/>
        </w:rPr>
      </w:pPr>
      <w:r w:rsidRPr="00AC3350">
        <w:rPr>
          <w:rFonts w:ascii="Arial" w:hAnsi="Arial" w:cs="Arial"/>
          <w:b/>
          <w:sz w:val="26"/>
          <w:szCs w:val="26"/>
        </w:rPr>
        <w:t xml:space="preserve">Bütün </w:t>
      </w:r>
      <w:r w:rsidR="00704511">
        <w:rPr>
          <w:rFonts w:ascii="Arial" w:hAnsi="Arial" w:cs="Arial"/>
          <w:b/>
          <w:sz w:val="26"/>
          <w:szCs w:val="26"/>
        </w:rPr>
        <w:t>grup markaları, satış adetleri</w:t>
      </w:r>
      <w:r w:rsidRPr="00AC3350">
        <w:rPr>
          <w:rFonts w:ascii="Arial" w:hAnsi="Arial" w:cs="Arial"/>
          <w:b/>
          <w:sz w:val="26"/>
          <w:szCs w:val="26"/>
        </w:rPr>
        <w:t xml:space="preserve"> ve pazar paylarında artış</w:t>
      </w:r>
      <w:r w:rsidR="00704511">
        <w:rPr>
          <w:rFonts w:ascii="Arial" w:hAnsi="Arial" w:cs="Arial"/>
          <w:b/>
          <w:sz w:val="26"/>
          <w:szCs w:val="26"/>
        </w:rPr>
        <w:t xml:space="preserve"> kaydetti</w:t>
      </w:r>
      <w:r w:rsidRPr="00AC3350">
        <w:rPr>
          <w:rFonts w:ascii="Arial" w:hAnsi="Arial" w:cs="Arial"/>
          <w:b/>
          <w:sz w:val="26"/>
          <w:szCs w:val="26"/>
        </w:rPr>
        <w:t xml:space="preserve">. Renault ve </w:t>
      </w:r>
      <w:proofErr w:type="spellStart"/>
      <w:r w:rsidRPr="00AC3350">
        <w:rPr>
          <w:rFonts w:ascii="Arial" w:hAnsi="Arial" w:cs="Arial"/>
          <w:b/>
          <w:sz w:val="26"/>
          <w:szCs w:val="26"/>
        </w:rPr>
        <w:t>Dacia</w:t>
      </w:r>
      <w:proofErr w:type="spellEnd"/>
      <w:r w:rsidRPr="00AC3350">
        <w:rPr>
          <w:rFonts w:ascii="Arial" w:hAnsi="Arial" w:cs="Arial"/>
          <w:b/>
          <w:sz w:val="26"/>
          <w:szCs w:val="26"/>
        </w:rPr>
        <w:t xml:space="preserve"> markalar</w:t>
      </w:r>
      <w:r w:rsidR="00704511">
        <w:rPr>
          <w:rFonts w:ascii="Arial" w:hAnsi="Arial" w:cs="Arial"/>
          <w:b/>
          <w:sz w:val="26"/>
          <w:szCs w:val="26"/>
        </w:rPr>
        <w:t>ı 6 ayın</w:t>
      </w:r>
      <w:r w:rsidRPr="00AC3350">
        <w:rPr>
          <w:rFonts w:ascii="Arial" w:hAnsi="Arial" w:cs="Arial"/>
          <w:b/>
          <w:sz w:val="26"/>
          <w:szCs w:val="26"/>
        </w:rPr>
        <w:t xml:space="preserve"> satış rekoru</w:t>
      </w:r>
      <w:r w:rsidR="00704511">
        <w:rPr>
          <w:rFonts w:ascii="Arial" w:hAnsi="Arial" w:cs="Arial"/>
          <w:b/>
          <w:sz w:val="26"/>
          <w:szCs w:val="26"/>
        </w:rPr>
        <w:t>nu</w:t>
      </w:r>
      <w:r w:rsidRPr="00AC3350">
        <w:rPr>
          <w:rFonts w:ascii="Arial" w:hAnsi="Arial" w:cs="Arial"/>
          <w:b/>
          <w:sz w:val="26"/>
          <w:szCs w:val="26"/>
        </w:rPr>
        <w:t xml:space="preserve"> kırdı. Renault, Avrupa’nın en çok satan ikinci markası </w:t>
      </w:r>
      <w:r w:rsidR="00704511">
        <w:rPr>
          <w:rFonts w:ascii="Arial" w:hAnsi="Arial" w:cs="Arial"/>
          <w:b/>
          <w:sz w:val="26"/>
          <w:szCs w:val="26"/>
        </w:rPr>
        <w:t xml:space="preserve">oldu. </w:t>
      </w:r>
    </w:p>
    <w:p w:rsidR="00AC3350" w:rsidRPr="00AC3350" w:rsidRDefault="00AC3350" w:rsidP="00704511">
      <w:pPr>
        <w:pStyle w:val="ListeParagraf"/>
        <w:numPr>
          <w:ilvl w:val="0"/>
          <w:numId w:val="16"/>
        </w:numPr>
        <w:spacing w:line="360" w:lineRule="auto"/>
        <w:ind w:right="522"/>
        <w:jc w:val="both"/>
        <w:rPr>
          <w:rFonts w:ascii="Arial" w:hAnsi="Arial" w:cs="Arial"/>
          <w:b/>
          <w:sz w:val="26"/>
          <w:szCs w:val="26"/>
        </w:rPr>
      </w:pPr>
      <w:r w:rsidRPr="00AC3350">
        <w:rPr>
          <w:rFonts w:ascii="Arial" w:hAnsi="Arial" w:cs="Arial"/>
          <w:b/>
          <w:sz w:val="26"/>
          <w:szCs w:val="26"/>
        </w:rPr>
        <w:t>Bütün bölgeler, satış adetlerini ve pazar paylarını artırd</w:t>
      </w:r>
      <w:r w:rsidR="00704511">
        <w:rPr>
          <w:rFonts w:ascii="Arial" w:hAnsi="Arial" w:cs="Arial"/>
          <w:b/>
          <w:sz w:val="26"/>
          <w:szCs w:val="26"/>
        </w:rPr>
        <w:t>ı. Grup, özellikle Afrika-Ortad</w:t>
      </w:r>
      <w:r w:rsidRPr="00AC3350">
        <w:rPr>
          <w:rFonts w:ascii="Arial" w:hAnsi="Arial" w:cs="Arial"/>
          <w:b/>
          <w:sz w:val="26"/>
          <w:szCs w:val="26"/>
        </w:rPr>
        <w:t>oğu-Hindistan Bölgesi</w:t>
      </w:r>
      <w:r w:rsidR="00704511">
        <w:rPr>
          <w:rFonts w:ascii="Arial" w:hAnsi="Arial" w:cs="Arial"/>
          <w:b/>
          <w:sz w:val="26"/>
          <w:szCs w:val="26"/>
        </w:rPr>
        <w:t>’</w:t>
      </w:r>
      <w:r w:rsidRPr="00AC3350">
        <w:rPr>
          <w:rFonts w:ascii="Arial" w:hAnsi="Arial" w:cs="Arial"/>
          <w:b/>
          <w:sz w:val="26"/>
          <w:szCs w:val="26"/>
        </w:rPr>
        <w:t>nde yüzde 19,3, Asya Pasifik Bölgesinde yüzde 50,5 oranında bir artış kaydetti.</w:t>
      </w:r>
    </w:p>
    <w:p w:rsidR="00AC3350" w:rsidRPr="00AC3350" w:rsidRDefault="00AC3350" w:rsidP="00704511">
      <w:pPr>
        <w:pStyle w:val="ListeParagraf"/>
        <w:numPr>
          <w:ilvl w:val="0"/>
          <w:numId w:val="16"/>
        </w:numPr>
        <w:spacing w:line="360" w:lineRule="auto"/>
        <w:ind w:right="522"/>
        <w:jc w:val="both"/>
        <w:rPr>
          <w:rFonts w:ascii="Arial" w:hAnsi="Arial" w:cs="Arial"/>
          <w:b/>
          <w:sz w:val="26"/>
          <w:szCs w:val="26"/>
        </w:rPr>
      </w:pPr>
      <w:r w:rsidRPr="00AC3350">
        <w:rPr>
          <w:rFonts w:ascii="Arial" w:hAnsi="Arial" w:cs="Arial"/>
          <w:b/>
          <w:sz w:val="26"/>
          <w:szCs w:val="26"/>
        </w:rPr>
        <w:t xml:space="preserve">Renault, yenilenen </w:t>
      </w:r>
      <w:r w:rsidR="00704511">
        <w:rPr>
          <w:rFonts w:ascii="Arial" w:hAnsi="Arial" w:cs="Arial"/>
          <w:b/>
          <w:sz w:val="26"/>
          <w:szCs w:val="26"/>
        </w:rPr>
        <w:t xml:space="preserve">ürün gamı, yeni model </w:t>
      </w:r>
      <w:proofErr w:type="spellStart"/>
      <w:r w:rsidR="00E02083">
        <w:rPr>
          <w:rFonts w:ascii="Arial" w:hAnsi="Arial" w:cs="Arial"/>
          <w:b/>
          <w:sz w:val="26"/>
          <w:szCs w:val="26"/>
        </w:rPr>
        <w:t>l</w:t>
      </w:r>
      <w:r w:rsidRPr="00AC3350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n</w:t>
      </w:r>
      <w:r w:rsidRPr="00AC3350">
        <w:rPr>
          <w:rFonts w:ascii="Arial" w:hAnsi="Arial" w:cs="Arial"/>
          <w:b/>
          <w:sz w:val="26"/>
          <w:szCs w:val="26"/>
        </w:rPr>
        <w:t>smanları</w:t>
      </w:r>
      <w:proofErr w:type="spellEnd"/>
      <w:r w:rsidRPr="00AC3350">
        <w:rPr>
          <w:rFonts w:ascii="Arial" w:hAnsi="Arial" w:cs="Arial"/>
          <w:b/>
          <w:sz w:val="26"/>
          <w:szCs w:val="26"/>
        </w:rPr>
        <w:t xml:space="preserve"> ve</w:t>
      </w:r>
      <w:r>
        <w:rPr>
          <w:rFonts w:ascii="Arial" w:hAnsi="Arial" w:cs="Arial"/>
          <w:b/>
          <w:sz w:val="26"/>
          <w:szCs w:val="26"/>
        </w:rPr>
        <w:t xml:space="preserve"> uluslararası </w:t>
      </w:r>
      <w:r w:rsidR="00704511">
        <w:rPr>
          <w:rFonts w:ascii="Arial" w:hAnsi="Arial" w:cs="Arial"/>
          <w:b/>
          <w:sz w:val="26"/>
          <w:szCs w:val="26"/>
        </w:rPr>
        <w:t xml:space="preserve">pazarlardaki faaliyetlerinin </w:t>
      </w:r>
      <w:r w:rsidRPr="00AC3350">
        <w:rPr>
          <w:rFonts w:ascii="Arial" w:hAnsi="Arial" w:cs="Arial"/>
          <w:b/>
          <w:sz w:val="26"/>
          <w:szCs w:val="26"/>
        </w:rPr>
        <w:t xml:space="preserve">geliştirilmesine dayalı </w:t>
      </w:r>
      <w:r w:rsidR="00704511">
        <w:rPr>
          <w:rFonts w:ascii="Arial" w:hAnsi="Arial" w:cs="Arial"/>
          <w:b/>
          <w:sz w:val="26"/>
          <w:szCs w:val="26"/>
        </w:rPr>
        <w:t xml:space="preserve">2017 </w:t>
      </w:r>
      <w:r w:rsidRPr="00AC3350">
        <w:rPr>
          <w:rFonts w:ascii="Arial" w:hAnsi="Arial" w:cs="Arial"/>
          <w:b/>
          <w:sz w:val="26"/>
          <w:szCs w:val="26"/>
        </w:rPr>
        <w:t xml:space="preserve">büyüme </w:t>
      </w:r>
      <w:r w:rsidR="00704511">
        <w:rPr>
          <w:rFonts w:ascii="Arial" w:hAnsi="Arial" w:cs="Arial"/>
          <w:b/>
          <w:sz w:val="26"/>
          <w:szCs w:val="26"/>
        </w:rPr>
        <w:t xml:space="preserve">hedefini </w:t>
      </w:r>
      <w:r w:rsidRPr="00AC3350">
        <w:rPr>
          <w:rFonts w:ascii="Arial" w:hAnsi="Arial" w:cs="Arial"/>
          <w:b/>
          <w:sz w:val="26"/>
          <w:szCs w:val="26"/>
        </w:rPr>
        <w:t xml:space="preserve">teyit ediyor. </w:t>
      </w:r>
    </w:p>
    <w:p w:rsidR="004F31BC" w:rsidRPr="00A818C9" w:rsidRDefault="004F31BC" w:rsidP="004F31B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b/>
          <w:sz w:val="12"/>
        </w:rPr>
      </w:pPr>
    </w:p>
    <w:p w:rsidR="00FF497C" w:rsidRPr="00D61CD0" w:rsidRDefault="008054A3" w:rsidP="00CD1B7D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sz w:val="20"/>
        </w:rPr>
        <w:t xml:space="preserve">Renault Grubu, (Lada </w:t>
      </w:r>
      <w:proofErr w:type="gramStart"/>
      <w:r w:rsidRPr="00D61CD0">
        <w:rPr>
          <w:rFonts w:ascii="Arial" w:hAnsi="Arial" w:cs="Arial"/>
          <w:sz w:val="20"/>
        </w:rPr>
        <w:t>da</w:t>
      </w:r>
      <w:r w:rsidR="00704511">
        <w:rPr>
          <w:rFonts w:ascii="Arial" w:hAnsi="Arial" w:cs="Arial"/>
          <w:sz w:val="20"/>
        </w:rPr>
        <w:t>hil</w:t>
      </w:r>
      <w:proofErr w:type="gramEnd"/>
      <w:r w:rsidR="00704511">
        <w:rPr>
          <w:rFonts w:ascii="Arial" w:hAnsi="Arial" w:cs="Arial"/>
          <w:sz w:val="20"/>
        </w:rPr>
        <w:t>) küresel satışları (binek+ hafif ticari</w:t>
      </w:r>
      <w:r w:rsidRPr="00D61CD0">
        <w:rPr>
          <w:rFonts w:ascii="Arial" w:hAnsi="Arial" w:cs="Arial"/>
          <w:sz w:val="20"/>
        </w:rPr>
        <w:t xml:space="preserve">) yüzde 2,6 büyüyen pazarda yüzde 10,4 oranında artış kaydetti. Grubun pazar payı böylece yüzde 4,1’e yükseldi (2016’ya göre + 0,3 puan). </w:t>
      </w:r>
      <w:r w:rsidRPr="00787C76">
        <w:rPr>
          <w:rFonts w:ascii="Arial" w:hAnsi="Arial" w:cs="Arial"/>
          <w:sz w:val="20"/>
        </w:rPr>
        <w:t xml:space="preserve">Renault ve </w:t>
      </w:r>
      <w:proofErr w:type="spellStart"/>
      <w:r w:rsidRPr="00787C76">
        <w:rPr>
          <w:rFonts w:ascii="Arial" w:hAnsi="Arial" w:cs="Arial"/>
          <w:sz w:val="20"/>
        </w:rPr>
        <w:t>Dacia</w:t>
      </w:r>
      <w:proofErr w:type="spellEnd"/>
      <w:r w:rsidRPr="00787C76">
        <w:rPr>
          <w:rFonts w:ascii="Arial" w:hAnsi="Arial" w:cs="Arial"/>
          <w:sz w:val="20"/>
        </w:rPr>
        <w:t xml:space="preserve"> markaları</w:t>
      </w:r>
      <w:r w:rsidR="00D018DE" w:rsidRPr="00787C76">
        <w:rPr>
          <w:rFonts w:ascii="Arial" w:hAnsi="Arial" w:cs="Arial"/>
          <w:sz w:val="20"/>
        </w:rPr>
        <w:t>, ilk yarıda</w:t>
      </w:r>
      <w:r w:rsidRPr="00787C76">
        <w:rPr>
          <w:rFonts w:ascii="Arial" w:hAnsi="Arial" w:cs="Arial"/>
          <w:sz w:val="20"/>
        </w:rPr>
        <w:t xml:space="preserve"> satış rekoruna imza attı.</w:t>
      </w:r>
      <w:r w:rsidR="003C7810">
        <w:rPr>
          <w:rFonts w:ascii="Arial" w:hAnsi="Arial" w:cs="Arial"/>
          <w:sz w:val="20"/>
        </w:rPr>
        <w:t xml:space="preserve"> Grup</w:t>
      </w:r>
      <w:r w:rsidR="00A818C9">
        <w:rPr>
          <w:rFonts w:ascii="Arial" w:hAnsi="Arial" w:cs="Arial"/>
          <w:sz w:val="20"/>
        </w:rPr>
        <w:t>,</w:t>
      </w:r>
      <w:r w:rsidR="003C7810">
        <w:rPr>
          <w:rFonts w:ascii="Arial" w:hAnsi="Arial" w:cs="Arial"/>
          <w:sz w:val="20"/>
        </w:rPr>
        <w:t xml:space="preserve"> 1 milyon </w:t>
      </w:r>
      <w:r w:rsidR="000A4884">
        <w:rPr>
          <w:rFonts w:ascii="Arial" w:hAnsi="Arial" w:cs="Arial"/>
          <w:sz w:val="20"/>
        </w:rPr>
        <w:t>342</w:t>
      </w:r>
      <w:r w:rsidR="003C7810">
        <w:rPr>
          <w:rFonts w:ascii="Arial" w:hAnsi="Arial" w:cs="Arial"/>
          <w:sz w:val="20"/>
        </w:rPr>
        <w:t xml:space="preserve"> bin</w:t>
      </w:r>
      <w:r w:rsidR="000A4884">
        <w:rPr>
          <w:rFonts w:ascii="Arial" w:hAnsi="Arial" w:cs="Arial"/>
          <w:sz w:val="20"/>
        </w:rPr>
        <w:t xml:space="preserve"> 320</w:t>
      </w:r>
      <w:r w:rsidR="00A818C9">
        <w:rPr>
          <w:rFonts w:ascii="Arial" w:hAnsi="Arial" w:cs="Arial"/>
          <w:sz w:val="20"/>
        </w:rPr>
        <w:t xml:space="preserve"> adet Renault</w:t>
      </w:r>
      <w:r w:rsidR="003C7810">
        <w:rPr>
          <w:rFonts w:ascii="Arial" w:hAnsi="Arial" w:cs="Arial"/>
          <w:sz w:val="20"/>
        </w:rPr>
        <w:t xml:space="preserve"> ve 332 bin 845 </w:t>
      </w:r>
      <w:r w:rsidR="00A818C9">
        <w:rPr>
          <w:rFonts w:ascii="Arial" w:hAnsi="Arial" w:cs="Arial"/>
          <w:sz w:val="20"/>
        </w:rPr>
        <w:t xml:space="preserve">adet </w:t>
      </w:r>
      <w:proofErr w:type="spellStart"/>
      <w:r w:rsidR="003C7810">
        <w:rPr>
          <w:rFonts w:ascii="Arial" w:hAnsi="Arial" w:cs="Arial"/>
          <w:sz w:val="20"/>
        </w:rPr>
        <w:t>Dacia</w:t>
      </w:r>
      <w:proofErr w:type="spellEnd"/>
      <w:r w:rsidR="003C7810">
        <w:rPr>
          <w:rFonts w:ascii="Arial" w:hAnsi="Arial" w:cs="Arial"/>
          <w:sz w:val="20"/>
        </w:rPr>
        <w:t xml:space="preserve"> olmak üzere 1 milyon 879 bin 288</w:t>
      </w:r>
      <w:r w:rsidR="003C7810" w:rsidRPr="003C7810">
        <w:rPr>
          <w:rFonts w:ascii="Arial" w:hAnsi="Arial" w:cs="Arial"/>
          <w:sz w:val="20"/>
        </w:rPr>
        <w:t xml:space="preserve"> adet araç </w:t>
      </w:r>
      <w:r w:rsidR="00A818C9">
        <w:rPr>
          <w:rFonts w:ascii="Arial" w:hAnsi="Arial" w:cs="Arial"/>
          <w:sz w:val="20"/>
        </w:rPr>
        <w:t xml:space="preserve">satışı gerçekleştirdi. </w:t>
      </w:r>
      <w:r w:rsidRPr="00D61CD0">
        <w:rPr>
          <w:rFonts w:ascii="Arial" w:hAnsi="Arial" w:cs="Arial"/>
          <w:sz w:val="20"/>
        </w:rPr>
        <w:t xml:space="preserve">Renault </w:t>
      </w:r>
      <w:proofErr w:type="spellStart"/>
      <w:r w:rsidRPr="00D61CD0">
        <w:rPr>
          <w:rFonts w:ascii="Arial" w:hAnsi="Arial" w:cs="Arial"/>
          <w:sz w:val="20"/>
        </w:rPr>
        <w:t>Samsung</w:t>
      </w:r>
      <w:proofErr w:type="spellEnd"/>
      <w:r w:rsidRPr="00D61CD0">
        <w:rPr>
          <w:rFonts w:ascii="Arial" w:hAnsi="Arial" w:cs="Arial"/>
          <w:sz w:val="20"/>
        </w:rPr>
        <w:t xml:space="preserve"> </w:t>
      </w:r>
      <w:proofErr w:type="spellStart"/>
      <w:r w:rsidRPr="00D61CD0">
        <w:rPr>
          <w:rFonts w:ascii="Arial" w:hAnsi="Arial" w:cs="Arial"/>
          <w:sz w:val="20"/>
        </w:rPr>
        <w:t>Motors</w:t>
      </w:r>
      <w:proofErr w:type="spellEnd"/>
      <w:r w:rsidRPr="00D61CD0">
        <w:rPr>
          <w:rFonts w:ascii="Arial" w:hAnsi="Arial" w:cs="Arial"/>
          <w:sz w:val="20"/>
        </w:rPr>
        <w:t xml:space="preserve"> satışları yüzde 12,5 artarken </w:t>
      </w:r>
      <w:r w:rsidR="001E0E88" w:rsidRPr="00D61CD0">
        <w:rPr>
          <w:rFonts w:ascii="Arial" w:hAnsi="Arial" w:cs="Arial"/>
          <w:sz w:val="20"/>
        </w:rPr>
        <w:t>Lada satışları yüzd</w:t>
      </w:r>
      <w:r w:rsidR="00A818C9">
        <w:rPr>
          <w:rFonts w:ascii="Arial" w:hAnsi="Arial" w:cs="Arial"/>
          <w:sz w:val="20"/>
        </w:rPr>
        <w:t>e 12,2 artış kaydetti</w:t>
      </w:r>
      <w:r w:rsidR="00CD1B7D" w:rsidRPr="00D61CD0">
        <w:rPr>
          <w:rFonts w:ascii="Arial" w:hAnsi="Arial" w:cs="Arial"/>
          <w:sz w:val="20"/>
        </w:rPr>
        <w:t>.</w:t>
      </w:r>
    </w:p>
    <w:p w:rsidR="00EF5DDC" w:rsidRPr="00A818C9" w:rsidRDefault="00EF5DDC" w:rsidP="00EF5DD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12"/>
        </w:rPr>
      </w:pPr>
    </w:p>
    <w:p w:rsidR="008054A3" w:rsidRPr="00D61CD0" w:rsidRDefault="00FF497C" w:rsidP="00EF5DD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  <w:highlight w:val="yellow"/>
        </w:rPr>
      </w:pPr>
      <w:r w:rsidRPr="00D61CD0">
        <w:rPr>
          <w:rFonts w:ascii="Arial" w:hAnsi="Arial" w:cs="Arial"/>
          <w:sz w:val="20"/>
        </w:rPr>
        <w:t xml:space="preserve">Renault Grubu İcra Kurulu üyesi ve </w:t>
      </w:r>
      <w:r w:rsidR="00EF5DDC" w:rsidRPr="00D61CD0">
        <w:rPr>
          <w:rFonts w:ascii="Arial" w:hAnsi="Arial" w:cs="Arial"/>
          <w:sz w:val="20"/>
        </w:rPr>
        <w:t xml:space="preserve">Renault </w:t>
      </w:r>
      <w:r w:rsidRPr="00D61CD0">
        <w:rPr>
          <w:rFonts w:ascii="Arial" w:hAnsi="Arial" w:cs="Arial"/>
          <w:sz w:val="20"/>
        </w:rPr>
        <w:t>Grubu</w:t>
      </w:r>
      <w:r w:rsidR="00EF5DDC" w:rsidRPr="00D61CD0">
        <w:rPr>
          <w:rFonts w:ascii="Arial" w:hAnsi="Arial" w:cs="Arial"/>
          <w:sz w:val="20"/>
        </w:rPr>
        <w:t xml:space="preserve"> Ticari Direktörü</w:t>
      </w:r>
      <w:r w:rsidRPr="00D61CD0">
        <w:rPr>
          <w:rFonts w:ascii="Arial" w:hAnsi="Arial" w:cs="Arial"/>
          <w:sz w:val="20"/>
        </w:rPr>
        <w:t xml:space="preserve"> </w:t>
      </w:r>
      <w:proofErr w:type="spellStart"/>
      <w:r w:rsidRPr="00D61CD0">
        <w:rPr>
          <w:rFonts w:ascii="Arial" w:hAnsi="Arial" w:cs="Arial"/>
          <w:sz w:val="20"/>
        </w:rPr>
        <w:t>Thierry</w:t>
      </w:r>
      <w:proofErr w:type="spellEnd"/>
      <w:r w:rsidRPr="00D61CD0">
        <w:rPr>
          <w:rFonts w:ascii="Arial" w:hAnsi="Arial" w:cs="Arial"/>
          <w:sz w:val="20"/>
        </w:rPr>
        <w:t xml:space="preserve"> </w:t>
      </w:r>
      <w:proofErr w:type="spellStart"/>
      <w:r w:rsidRPr="00D61CD0">
        <w:rPr>
          <w:rFonts w:ascii="Arial" w:hAnsi="Arial" w:cs="Arial"/>
          <w:sz w:val="20"/>
        </w:rPr>
        <w:t>K</w:t>
      </w:r>
      <w:r w:rsidR="00EF5DDC" w:rsidRPr="00D61CD0">
        <w:rPr>
          <w:rFonts w:ascii="Arial" w:hAnsi="Arial" w:cs="Arial"/>
          <w:sz w:val="20"/>
        </w:rPr>
        <w:t>oskas</w:t>
      </w:r>
      <w:proofErr w:type="spellEnd"/>
      <w:r w:rsidR="00EF5DDC" w:rsidRPr="00D61CD0">
        <w:rPr>
          <w:rFonts w:ascii="Arial" w:hAnsi="Arial" w:cs="Arial"/>
          <w:sz w:val="20"/>
        </w:rPr>
        <w:t>, ‘</w:t>
      </w:r>
      <w:r w:rsidR="00EF5DDC" w:rsidRPr="00D61CD0">
        <w:rPr>
          <w:rFonts w:ascii="Arial" w:hAnsi="Arial" w:cs="Arial"/>
          <w:i/>
          <w:sz w:val="20"/>
        </w:rPr>
        <w:t xml:space="preserve">’Yılın ilk yarısında </w:t>
      </w:r>
      <w:r w:rsidRPr="00D61CD0">
        <w:rPr>
          <w:rFonts w:ascii="Arial" w:hAnsi="Arial" w:cs="Arial"/>
          <w:i/>
          <w:sz w:val="20"/>
        </w:rPr>
        <w:t>1,88 milyondan fa</w:t>
      </w:r>
      <w:r w:rsidR="00EF5DDC" w:rsidRPr="00D61CD0">
        <w:rPr>
          <w:rFonts w:ascii="Arial" w:hAnsi="Arial" w:cs="Arial"/>
          <w:i/>
          <w:sz w:val="20"/>
        </w:rPr>
        <w:t>zla araç satarak yeni bir rekora</w:t>
      </w:r>
      <w:r w:rsidRPr="00D61CD0">
        <w:rPr>
          <w:rFonts w:ascii="Arial" w:hAnsi="Arial" w:cs="Arial"/>
          <w:i/>
          <w:sz w:val="20"/>
        </w:rPr>
        <w:t xml:space="preserve"> imza attık. Bütün markalarımızın büt</w:t>
      </w:r>
      <w:r w:rsidR="00EF5DDC" w:rsidRPr="00D61CD0">
        <w:rPr>
          <w:rFonts w:ascii="Arial" w:hAnsi="Arial" w:cs="Arial"/>
          <w:i/>
          <w:sz w:val="20"/>
        </w:rPr>
        <w:t xml:space="preserve">ün bölgelerdeki satış </w:t>
      </w:r>
      <w:r w:rsidR="00F95BA5">
        <w:rPr>
          <w:rFonts w:ascii="Arial" w:hAnsi="Arial" w:cs="Arial"/>
          <w:i/>
          <w:sz w:val="20"/>
        </w:rPr>
        <w:t>adedi ve pazar payı artış kayde</w:t>
      </w:r>
      <w:r w:rsidR="00EF5DDC" w:rsidRPr="00D61CD0">
        <w:rPr>
          <w:rFonts w:ascii="Arial" w:hAnsi="Arial" w:cs="Arial"/>
          <w:i/>
          <w:sz w:val="20"/>
        </w:rPr>
        <w:t>tti.</w:t>
      </w:r>
      <w:r w:rsidR="00A818C9">
        <w:rPr>
          <w:rFonts w:ascii="Arial" w:hAnsi="Arial" w:cs="Arial"/>
          <w:i/>
          <w:sz w:val="20"/>
        </w:rPr>
        <w:t xml:space="preserve"> Yenilenen ürünlerimiz</w:t>
      </w:r>
      <w:r w:rsidR="000D2571">
        <w:rPr>
          <w:rFonts w:ascii="Arial" w:hAnsi="Arial" w:cs="Arial"/>
          <w:i/>
          <w:sz w:val="20"/>
        </w:rPr>
        <w:t>in</w:t>
      </w:r>
      <w:r w:rsidR="00A818C9">
        <w:rPr>
          <w:rFonts w:ascii="Arial" w:hAnsi="Arial" w:cs="Arial"/>
          <w:i/>
          <w:sz w:val="20"/>
        </w:rPr>
        <w:t xml:space="preserve"> </w:t>
      </w:r>
      <w:r w:rsidRPr="00D61CD0">
        <w:rPr>
          <w:rFonts w:ascii="Arial" w:hAnsi="Arial" w:cs="Arial"/>
          <w:i/>
          <w:sz w:val="20"/>
        </w:rPr>
        <w:t xml:space="preserve">ve coğrafi genişleme </w:t>
      </w:r>
      <w:r w:rsidR="00745375" w:rsidRPr="00D61CD0">
        <w:rPr>
          <w:rFonts w:ascii="Arial" w:hAnsi="Arial" w:cs="Arial"/>
          <w:i/>
          <w:sz w:val="20"/>
        </w:rPr>
        <w:t>stratejimiz</w:t>
      </w:r>
      <w:r w:rsidR="000D2571">
        <w:rPr>
          <w:rFonts w:ascii="Arial" w:hAnsi="Arial" w:cs="Arial"/>
          <w:i/>
          <w:sz w:val="20"/>
        </w:rPr>
        <w:t>in</w:t>
      </w:r>
      <w:r w:rsidR="00745375" w:rsidRPr="00D61CD0">
        <w:rPr>
          <w:rFonts w:ascii="Arial" w:hAnsi="Arial" w:cs="Arial"/>
          <w:i/>
          <w:sz w:val="20"/>
        </w:rPr>
        <w:t xml:space="preserve"> sonuç</w:t>
      </w:r>
      <w:r w:rsidR="000D2571">
        <w:rPr>
          <w:rFonts w:ascii="Arial" w:hAnsi="Arial" w:cs="Arial"/>
          <w:i/>
          <w:sz w:val="20"/>
        </w:rPr>
        <w:t>larını almaya d</w:t>
      </w:r>
      <w:r w:rsidR="00745375" w:rsidRPr="00D61CD0">
        <w:rPr>
          <w:rFonts w:ascii="Arial" w:hAnsi="Arial" w:cs="Arial"/>
          <w:i/>
          <w:sz w:val="20"/>
        </w:rPr>
        <w:t>evam</w:t>
      </w:r>
      <w:r w:rsidRPr="00D61CD0">
        <w:rPr>
          <w:rFonts w:ascii="Arial" w:hAnsi="Arial" w:cs="Arial"/>
          <w:i/>
          <w:sz w:val="20"/>
        </w:rPr>
        <w:t xml:space="preserve"> </w:t>
      </w:r>
      <w:r w:rsidR="00EF5DDC" w:rsidRPr="00D61CD0">
        <w:rPr>
          <w:rFonts w:ascii="Arial" w:hAnsi="Arial" w:cs="Arial"/>
          <w:i/>
          <w:sz w:val="20"/>
        </w:rPr>
        <w:t>e</w:t>
      </w:r>
      <w:r w:rsidRPr="00D61CD0">
        <w:rPr>
          <w:rFonts w:ascii="Arial" w:hAnsi="Arial" w:cs="Arial"/>
          <w:i/>
          <w:sz w:val="20"/>
        </w:rPr>
        <w:t>diyor</w:t>
      </w:r>
      <w:r w:rsidR="000D2571">
        <w:rPr>
          <w:rFonts w:ascii="Arial" w:hAnsi="Arial" w:cs="Arial"/>
          <w:i/>
          <w:sz w:val="20"/>
        </w:rPr>
        <w:t>uz</w:t>
      </w:r>
      <w:r w:rsidRPr="00D61CD0">
        <w:rPr>
          <w:rFonts w:ascii="Arial" w:hAnsi="Arial" w:cs="Arial"/>
          <w:i/>
          <w:sz w:val="20"/>
        </w:rPr>
        <w:t>’’</w:t>
      </w:r>
      <w:r w:rsidRPr="00D61CD0">
        <w:rPr>
          <w:rFonts w:ascii="Arial" w:hAnsi="Arial" w:cs="Arial"/>
          <w:sz w:val="20"/>
        </w:rPr>
        <w:t xml:space="preserve"> dedi.</w:t>
      </w:r>
      <w:r w:rsidR="00EF5DDC" w:rsidRPr="00D61CD0">
        <w:rPr>
          <w:rFonts w:ascii="Arial" w:hAnsi="Arial" w:cs="Arial"/>
          <w:sz w:val="20"/>
        </w:rPr>
        <w:tab/>
      </w:r>
      <w:r w:rsidR="00A26B0F" w:rsidRPr="00D61CD0">
        <w:rPr>
          <w:rFonts w:ascii="Arial" w:hAnsi="Arial" w:cs="Arial"/>
          <w:sz w:val="20"/>
        </w:rPr>
        <w:br/>
      </w:r>
    </w:p>
    <w:p w:rsidR="001E0E88" w:rsidRPr="00D61CD0" w:rsidRDefault="001E0E88" w:rsidP="00A26B0F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lastRenderedPageBreak/>
        <w:t>Avrupa’da</w:t>
      </w:r>
      <w:r w:rsidR="000D2571">
        <w:rPr>
          <w:rFonts w:ascii="Arial" w:hAnsi="Arial" w:cs="Arial"/>
          <w:sz w:val="20"/>
        </w:rPr>
        <w:t xml:space="preserve"> sat</w:t>
      </w:r>
      <w:r w:rsidR="00717A79">
        <w:rPr>
          <w:rFonts w:ascii="Arial" w:hAnsi="Arial" w:cs="Arial"/>
          <w:sz w:val="20"/>
        </w:rPr>
        <w:t>ı</w:t>
      </w:r>
      <w:r w:rsidR="000D2571">
        <w:rPr>
          <w:rFonts w:ascii="Arial" w:hAnsi="Arial" w:cs="Arial"/>
          <w:sz w:val="20"/>
        </w:rPr>
        <w:t>şlar</w:t>
      </w:r>
      <w:r w:rsidR="003C7810">
        <w:rPr>
          <w:rFonts w:ascii="Arial" w:hAnsi="Arial" w:cs="Arial"/>
          <w:sz w:val="20"/>
        </w:rPr>
        <w:t xml:space="preserve">, </w:t>
      </w:r>
      <w:r w:rsidR="000D2571">
        <w:rPr>
          <w:rFonts w:ascii="Arial" w:hAnsi="Arial" w:cs="Arial"/>
          <w:sz w:val="20"/>
        </w:rPr>
        <w:t xml:space="preserve">pazardan daha hızlı </w:t>
      </w:r>
      <w:r w:rsidR="003C7810">
        <w:rPr>
          <w:rFonts w:ascii="Arial" w:hAnsi="Arial" w:cs="Arial"/>
          <w:sz w:val="20"/>
        </w:rPr>
        <w:t>büyümeye devam etti.</w:t>
      </w:r>
      <w:r w:rsidRPr="00D61CD0">
        <w:rPr>
          <w:rFonts w:ascii="Arial" w:hAnsi="Arial" w:cs="Arial"/>
          <w:sz w:val="20"/>
        </w:rPr>
        <w:t xml:space="preserve"> </w:t>
      </w:r>
      <w:r w:rsidR="000D2571">
        <w:rPr>
          <w:rFonts w:ascii="Arial" w:hAnsi="Arial" w:cs="Arial"/>
          <w:sz w:val="20"/>
        </w:rPr>
        <w:t>Satışlar, y</w:t>
      </w:r>
      <w:r w:rsidR="00A26B0F" w:rsidRPr="00D61CD0">
        <w:rPr>
          <w:rFonts w:ascii="Arial" w:hAnsi="Arial" w:cs="Arial"/>
          <w:sz w:val="20"/>
        </w:rPr>
        <w:t xml:space="preserve">ılın ilk yarısında yüzde 4,4 oranında büyüyen bir pazarda yüzde 5,6’lık </w:t>
      </w:r>
      <w:r w:rsidR="000D2571">
        <w:rPr>
          <w:rFonts w:ascii="Arial" w:hAnsi="Arial" w:cs="Arial"/>
          <w:sz w:val="20"/>
        </w:rPr>
        <w:t>bir artış göstererek toplam</w:t>
      </w:r>
      <w:r w:rsidR="003C7810">
        <w:rPr>
          <w:rFonts w:ascii="Arial" w:hAnsi="Arial" w:cs="Arial"/>
          <w:sz w:val="20"/>
        </w:rPr>
        <w:t xml:space="preserve"> 1 milyon </w:t>
      </w:r>
      <w:r w:rsidR="00A26B0F" w:rsidRPr="00D61CD0">
        <w:rPr>
          <w:rFonts w:ascii="Arial" w:hAnsi="Arial" w:cs="Arial"/>
          <w:sz w:val="20"/>
        </w:rPr>
        <w:t>25</w:t>
      </w:r>
      <w:r w:rsidR="003C7810">
        <w:rPr>
          <w:rFonts w:ascii="Arial" w:hAnsi="Arial" w:cs="Arial"/>
          <w:sz w:val="20"/>
        </w:rPr>
        <w:t xml:space="preserve"> bin 146’ya </w:t>
      </w:r>
      <w:r w:rsidR="00A26B0F" w:rsidRPr="00D61CD0">
        <w:rPr>
          <w:rFonts w:ascii="Arial" w:hAnsi="Arial" w:cs="Arial"/>
          <w:sz w:val="20"/>
        </w:rPr>
        <w:t>ulaştı.</w:t>
      </w:r>
      <w:r w:rsidR="003C7810">
        <w:rPr>
          <w:rFonts w:ascii="Arial" w:hAnsi="Arial" w:cs="Arial"/>
          <w:sz w:val="20"/>
        </w:rPr>
        <w:t xml:space="preserve"> </w:t>
      </w:r>
      <w:r w:rsidR="003C7810" w:rsidRPr="003C7810">
        <w:rPr>
          <w:rFonts w:ascii="Arial" w:hAnsi="Arial" w:cs="Arial"/>
          <w:sz w:val="20"/>
        </w:rPr>
        <w:t>Grubun binek + hafif ticari araç pazar payı 0,1 puan artarak yüzde 10,8’e ulaştı.</w:t>
      </w:r>
    </w:p>
    <w:p w:rsidR="00A26B0F" w:rsidRPr="00D61CD0" w:rsidRDefault="00A26B0F" w:rsidP="00A26B0F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b/>
          <w:sz w:val="20"/>
        </w:rPr>
      </w:pPr>
    </w:p>
    <w:p w:rsidR="00A26B0F" w:rsidRPr="00D61CD0" w:rsidRDefault="00A26B0F" w:rsidP="00A26B0F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Renault markası</w:t>
      </w:r>
      <w:r w:rsidR="003A1B4F">
        <w:rPr>
          <w:rFonts w:ascii="Arial" w:hAnsi="Arial" w:cs="Arial"/>
          <w:sz w:val="20"/>
        </w:rPr>
        <w:t xml:space="preserve"> yüzde 8,2’lik bir p</w:t>
      </w:r>
      <w:r w:rsidRPr="00D61CD0">
        <w:rPr>
          <w:rFonts w:ascii="Arial" w:hAnsi="Arial" w:cs="Arial"/>
          <w:sz w:val="20"/>
        </w:rPr>
        <w:t xml:space="preserve">azar payı için tek başına yüzde 4,3 oranında büyüme kaydetti. Renault, özellikle </w:t>
      </w:r>
      <w:proofErr w:type="spellStart"/>
      <w:r w:rsidRPr="00D61CD0">
        <w:rPr>
          <w:rFonts w:ascii="Arial" w:hAnsi="Arial" w:cs="Arial"/>
          <w:sz w:val="20"/>
        </w:rPr>
        <w:t>Megane</w:t>
      </w:r>
      <w:proofErr w:type="spellEnd"/>
      <w:r w:rsidRPr="00D61CD0">
        <w:rPr>
          <w:rFonts w:ascii="Arial" w:hAnsi="Arial" w:cs="Arial"/>
          <w:sz w:val="20"/>
        </w:rPr>
        <w:t xml:space="preserve"> ailesinin 2016</w:t>
      </w:r>
      <w:r w:rsidR="000D2571">
        <w:rPr>
          <w:rFonts w:ascii="Arial" w:hAnsi="Arial" w:cs="Arial"/>
          <w:sz w:val="20"/>
        </w:rPr>
        <w:t xml:space="preserve"> yılında tamamen yenilenmesinin olumlu etkilerini gördü</w:t>
      </w:r>
      <w:r w:rsidRPr="00D61CD0">
        <w:rPr>
          <w:rFonts w:ascii="Arial" w:hAnsi="Arial" w:cs="Arial"/>
          <w:sz w:val="20"/>
        </w:rPr>
        <w:t xml:space="preserve">. </w:t>
      </w:r>
      <w:proofErr w:type="spellStart"/>
      <w:r w:rsidRPr="00D61CD0">
        <w:rPr>
          <w:rFonts w:ascii="Arial" w:hAnsi="Arial" w:cs="Arial"/>
          <w:sz w:val="20"/>
        </w:rPr>
        <w:t>Clio</w:t>
      </w:r>
      <w:proofErr w:type="spellEnd"/>
      <w:r w:rsidRPr="00D61CD0">
        <w:rPr>
          <w:rFonts w:ascii="Arial" w:hAnsi="Arial" w:cs="Arial"/>
          <w:sz w:val="20"/>
        </w:rPr>
        <w:t xml:space="preserve"> 4, Avrupa’nın en çok sat</w:t>
      </w:r>
      <w:r w:rsidR="000D2571">
        <w:rPr>
          <w:rFonts w:ascii="Arial" w:hAnsi="Arial" w:cs="Arial"/>
          <w:sz w:val="20"/>
        </w:rPr>
        <w:t>ıl</w:t>
      </w:r>
      <w:r w:rsidRPr="00D61CD0">
        <w:rPr>
          <w:rFonts w:ascii="Arial" w:hAnsi="Arial" w:cs="Arial"/>
          <w:sz w:val="20"/>
        </w:rPr>
        <w:t xml:space="preserve">an ikinci </w:t>
      </w:r>
      <w:r w:rsidR="000D2571">
        <w:rPr>
          <w:rFonts w:ascii="Arial" w:hAnsi="Arial" w:cs="Arial"/>
          <w:sz w:val="20"/>
        </w:rPr>
        <w:t>modeliyken</w:t>
      </w:r>
      <w:r w:rsidRPr="00D61CD0">
        <w:rPr>
          <w:rFonts w:ascii="Arial" w:hAnsi="Arial" w:cs="Arial"/>
          <w:sz w:val="20"/>
        </w:rPr>
        <w:t xml:space="preserve"> Captur</w:t>
      </w:r>
      <w:r w:rsidR="000D2571">
        <w:rPr>
          <w:rFonts w:ascii="Arial" w:hAnsi="Arial" w:cs="Arial"/>
          <w:sz w:val="20"/>
        </w:rPr>
        <w:t xml:space="preserve">, kendi sınıfının lider </w:t>
      </w:r>
      <w:proofErr w:type="spellStart"/>
      <w:r w:rsidRPr="00D61CD0">
        <w:rPr>
          <w:rFonts w:ascii="Arial" w:hAnsi="Arial" w:cs="Arial"/>
          <w:sz w:val="20"/>
        </w:rPr>
        <w:t>crossover</w:t>
      </w:r>
      <w:proofErr w:type="spellEnd"/>
      <w:r w:rsidRPr="00D61CD0">
        <w:rPr>
          <w:rFonts w:ascii="Arial" w:hAnsi="Arial" w:cs="Arial"/>
          <w:sz w:val="20"/>
        </w:rPr>
        <w:t xml:space="preserve"> </w:t>
      </w:r>
      <w:r w:rsidR="000D2571">
        <w:rPr>
          <w:rFonts w:ascii="Arial" w:hAnsi="Arial" w:cs="Arial"/>
          <w:sz w:val="20"/>
        </w:rPr>
        <w:t xml:space="preserve">modeli </w:t>
      </w:r>
      <w:r w:rsidRPr="00D61CD0">
        <w:rPr>
          <w:rFonts w:ascii="Arial" w:hAnsi="Arial" w:cs="Arial"/>
          <w:sz w:val="20"/>
        </w:rPr>
        <w:t>olarak yer alıyor.</w:t>
      </w:r>
    </w:p>
    <w:p w:rsidR="00A26B0F" w:rsidRPr="00D61CD0" w:rsidRDefault="00A26B0F" w:rsidP="008C5691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b/>
          <w:sz w:val="20"/>
        </w:rPr>
      </w:pPr>
    </w:p>
    <w:p w:rsidR="008C5691" w:rsidRPr="00D61CD0" w:rsidRDefault="00A26B0F" w:rsidP="008C5691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 xml:space="preserve">Renault, </w:t>
      </w:r>
      <w:r w:rsidRPr="00D61CD0">
        <w:rPr>
          <w:rFonts w:ascii="Arial" w:hAnsi="Arial" w:cs="Arial"/>
          <w:sz w:val="20"/>
        </w:rPr>
        <w:t xml:space="preserve">yüzde 26,8’lik pazar payı ile elektrikli araç </w:t>
      </w:r>
      <w:proofErr w:type="spellStart"/>
      <w:r w:rsidRPr="00D61CD0">
        <w:rPr>
          <w:rFonts w:ascii="Arial" w:hAnsi="Arial" w:cs="Arial"/>
          <w:sz w:val="20"/>
        </w:rPr>
        <w:t>segmentindeki</w:t>
      </w:r>
      <w:proofErr w:type="spellEnd"/>
      <w:r w:rsidR="002C710B" w:rsidRPr="00D61CD0">
        <w:rPr>
          <w:rFonts w:ascii="Arial" w:hAnsi="Arial" w:cs="Arial"/>
          <w:sz w:val="20"/>
        </w:rPr>
        <w:t xml:space="preserve"> liderliğini korurken satış aded</w:t>
      </w:r>
      <w:r w:rsidR="00620E21">
        <w:rPr>
          <w:rFonts w:ascii="Arial" w:hAnsi="Arial" w:cs="Arial"/>
          <w:sz w:val="20"/>
        </w:rPr>
        <w:t>ini yüzde 34 art</w:t>
      </w:r>
      <w:r w:rsidRPr="00D61CD0">
        <w:rPr>
          <w:rFonts w:ascii="Arial" w:hAnsi="Arial" w:cs="Arial"/>
          <w:sz w:val="20"/>
        </w:rPr>
        <w:t>ırdı. Avrupa’nın en çok sat</w:t>
      </w:r>
      <w:r w:rsidR="000D2571">
        <w:rPr>
          <w:rFonts w:ascii="Arial" w:hAnsi="Arial" w:cs="Arial"/>
          <w:sz w:val="20"/>
        </w:rPr>
        <w:t>ılan elektrikli modeli</w:t>
      </w:r>
      <w:r w:rsidRPr="00D61CD0">
        <w:rPr>
          <w:rFonts w:ascii="Arial" w:hAnsi="Arial" w:cs="Arial"/>
          <w:sz w:val="20"/>
        </w:rPr>
        <w:t xml:space="preserve"> </w:t>
      </w:r>
      <w:proofErr w:type="spellStart"/>
      <w:r w:rsidRPr="00D61CD0">
        <w:rPr>
          <w:rFonts w:ascii="Arial" w:hAnsi="Arial" w:cs="Arial"/>
          <w:sz w:val="20"/>
        </w:rPr>
        <w:t>ZOE’nin</w:t>
      </w:r>
      <w:proofErr w:type="spellEnd"/>
      <w:r w:rsidRPr="00D61CD0">
        <w:rPr>
          <w:rFonts w:ascii="Arial" w:hAnsi="Arial" w:cs="Arial"/>
          <w:sz w:val="20"/>
        </w:rPr>
        <w:t xml:space="preserve"> </w:t>
      </w:r>
      <w:r w:rsidR="00653EBE" w:rsidRPr="00D61CD0">
        <w:rPr>
          <w:rFonts w:ascii="Arial" w:hAnsi="Arial" w:cs="Arial"/>
          <w:sz w:val="20"/>
        </w:rPr>
        <w:t>satışları</w:t>
      </w:r>
      <w:r w:rsidR="000D2571">
        <w:rPr>
          <w:rFonts w:ascii="Arial" w:hAnsi="Arial" w:cs="Arial"/>
          <w:sz w:val="20"/>
        </w:rPr>
        <w:t xml:space="preserve"> ise yüzde 44 art</w:t>
      </w:r>
      <w:r w:rsidRPr="00D61CD0">
        <w:rPr>
          <w:rFonts w:ascii="Arial" w:hAnsi="Arial" w:cs="Arial"/>
          <w:sz w:val="20"/>
        </w:rPr>
        <w:t>ı</w:t>
      </w:r>
      <w:r w:rsidR="000D2571">
        <w:rPr>
          <w:rFonts w:ascii="Arial" w:hAnsi="Arial" w:cs="Arial"/>
          <w:sz w:val="20"/>
        </w:rPr>
        <w:t>ş gösterdi</w:t>
      </w:r>
      <w:r w:rsidRPr="00D61CD0">
        <w:rPr>
          <w:rFonts w:ascii="Arial" w:hAnsi="Arial" w:cs="Arial"/>
          <w:sz w:val="20"/>
        </w:rPr>
        <w:t>.</w:t>
      </w:r>
    </w:p>
    <w:p w:rsidR="00C3181C" w:rsidRPr="00D61CD0" w:rsidRDefault="00C3181C" w:rsidP="008C5691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b/>
          <w:sz w:val="20"/>
        </w:rPr>
      </w:pPr>
    </w:p>
    <w:p w:rsidR="00A26B0F" w:rsidRPr="00D61CD0" w:rsidRDefault="00A26B0F" w:rsidP="008C5691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proofErr w:type="spellStart"/>
      <w:r w:rsidRPr="00D61CD0">
        <w:rPr>
          <w:rFonts w:ascii="Arial" w:hAnsi="Arial" w:cs="Arial"/>
          <w:b/>
          <w:sz w:val="20"/>
        </w:rPr>
        <w:t>Dacia</w:t>
      </w:r>
      <w:proofErr w:type="spellEnd"/>
      <w:r w:rsidRPr="00D61CD0">
        <w:rPr>
          <w:rFonts w:ascii="Arial" w:hAnsi="Arial" w:cs="Arial"/>
          <w:b/>
          <w:sz w:val="20"/>
        </w:rPr>
        <w:t xml:space="preserve"> markası, </w:t>
      </w:r>
      <w:r w:rsidRPr="00D61CD0">
        <w:rPr>
          <w:rFonts w:ascii="Arial" w:hAnsi="Arial" w:cs="Arial"/>
          <w:sz w:val="20"/>
        </w:rPr>
        <w:t xml:space="preserve">245 bin 453 adetlik araç satışı ve yüzde 2,6’lık </w:t>
      </w:r>
      <w:r w:rsidR="003E20DC" w:rsidRPr="00D61CD0">
        <w:rPr>
          <w:rFonts w:ascii="Arial" w:hAnsi="Arial" w:cs="Arial"/>
          <w:sz w:val="20"/>
        </w:rPr>
        <w:t>p</w:t>
      </w:r>
      <w:r w:rsidRPr="00D61CD0">
        <w:rPr>
          <w:rFonts w:ascii="Arial" w:hAnsi="Arial" w:cs="Arial"/>
          <w:sz w:val="20"/>
        </w:rPr>
        <w:t>azar</w:t>
      </w:r>
      <w:r w:rsidR="00C3181C" w:rsidRPr="00D61CD0">
        <w:rPr>
          <w:rFonts w:ascii="Arial" w:hAnsi="Arial" w:cs="Arial"/>
          <w:sz w:val="20"/>
        </w:rPr>
        <w:t xml:space="preserve"> payıyla Avrupa’da altı aylık satış rekoru kırdı. Yüzde 9,3 oranı</w:t>
      </w:r>
      <w:r w:rsidR="000D2571">
        <w:rPr>
          <w:rFonts w:ascii="Arial" w:hAnsi="Arial" w:cs="Arial"/>
          <w:sz w:val="20"/>
        </w:rPr>
        <w:t xml:space="preserve">ndaki bu yükseliş, yenilenen </w:t>
      </w:r>
      <w:proofErr w:type="spellStart"/>
      <w:r w:rsidR="000D2571">
        <w:rPr>
          <w:rFonts w:ascii="Arial" w:hAnsi="Arial" w:cs="Arial"/>
          <w:sz w:val="20"/>
        </w:rPr>
        <w:t>Sandero</w:t>
      </w:r>
      <w:proofErr w:type="spellEnd"/>
      <w:r w:rsidR="00C3181C" w:rsidRPr="00D61CD0">
        <w:rPr>
          <w:rFonts w:ascii="Arial" w:hAnsi="Arial" w:cs="Arial"/>
          <w:sz w:val="20"/>
        </w:rPr>
        <w:t xml:space="preserve"> ve </w:t>
      </w:r>
      <w:proofErr w:type="spellStart"/>
      <w:r w:rsidR="00C3181C" w:rsidRPr="00D61CD0">
        <w:rPr>
          <w:rFonts w:ascii="Arial" w:hAnsi="Arial" w:cs="Arial"/>
          <w:sz w:val="20"/>
        </w:rPr>
        <w:t>Duster’ın</w:t>
      </w:r>
      <w:proofErr w:type="spellEnd"/>
      <w:r w:rsidR="00C3181C" w:rsidRPr="00D61CD0">
        <w:rPr>
          <w:rFonts w:ascii="Arial" w:hAnsi="Arial" w:cs="Arial"/>
          <w:sz w:val="20"/>
        </w:rPr>
        <w:t xml:space="preserve"> performansından kaynaklandı. </w:t>
      </w:r>
    </w:p>
    <w:p w:rsidR="00C3181C" w:rsidRPr="00D61CD0" w:rsidRDefault="00C3181C" w:rsidP="008C5691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C3181C" w:rsidRPr="00D61CD0" w:rsidRDefault="00C3181C" w:rsidP="008C5691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Fransa’da</w:t>
      </w:r>
      <w:r w:rsidRPr="00D61CD0">
        <w:rPr>
          <w:rFonts w:ascii="Arial" w:hAnsi="Arial" w:cs="Arial"/>
          <w:sz w:val="20"/>
        </w:rPr>
        <w:t>, Renault Grubu binek otomobiller</w:t>
      </w:r>
      <w:r w:rsidR="003E20DC" w:rsidRPr="00D61CD0">
        <w:rPr>
          <w:rFonts w:ascii="Arial" w:hAnsi="Arial" w:cs="Arial"/>
          <w:sz w:val="20"/>
        </w:rPr>
        <w:t>inde son altı yılın en iyi yarı</w:t>
      </w:r>
      <w:r w:rsidRPr="00D61CD0">
        <w:rPr>
          <w:rFonts w:ascii="Arial" w:hAnsi="Arial" w:cs="Arial"/>
          <w:sz w:val="20"/>
        </w:rPr>
        <w:t xml:space="preserve">yıl performansını elde etti. </w:t>
      </w:r>
      <w:proofErr w:type="spellStart"/>
      <w:r w:rsidRPr="00D61CD0">
        <w:rPr>
          <w:rFonts w:ascii="Arial" w:hAnsi="Arial" w:cs="Arial"/>
          <w:sz w:val="20"/>
        </w:rPr>
        <w:t>Twingo</w:t>
      </w:r>
      <w:proofErr w:type="spellEnd"/>
      <w:r w:rsidRPr="00D61CD0">
        <w:rPr>
          <w:rFonts w:ascii="Arial" w:hAnsi="Arial" w:cs="Arial"/>
          <w:sz w:val="20"/>
        </w:rPr>
        <w:t xml:space="preserve">, </w:t>
      </w:r>
      <w:proofErr w:type="spellStart"/>
      <w:r w:rsidRPr="00D61CD0">
        <w:rPr>
          <w:rFonts w:ascii="Arial" w:hAnsi="Arial" w:cs="Arial"/>
          <w:sz w:val="20"/>
        </w:rPr>
        <w:t>Clio</w:t>
      </w:r>
      <w:proofErr w:type="spellEnd"/>
      <w:r w:rsidRPr="00D61CD0">
        <w:rPr>
          <w:rFonts w:ascii="Arial" w:hAnsi="Arial" w:cs="Arial"/>
          <w:sz w:val="20"/>
        </w:rPr>
        <w:t xml:space="preserve">, </w:t>
      </w:r>
      <w:proofErr w:type="spellStart"/>
      <w:r w:rsidRPr="00D61CD0">
        <w:rPr>
          <w:rFonts w:ascii="Arial" w:hAnsi="Arial" w:cs="Arial"/>
          <w:sz w:val="20"/>
        </w:rPr>
        <w:t>Talisman</w:t>
      </w:r>
      <w:proofErr w:type="spellEnd"/>
      <w:r w:rsidRPr="00D61CD0">
        <w:rPr>
          <w:rFonts w:ascii="Arial" w:hAnsi="Arial" w:cs="Arial"/>
          <w:sz w:val="20"/>
        </w:rPr>
        <w:t xml:space="preserve"> ve </w:t>
      </w:r>
      <w:proofErr w:type="spellStart"/>
      <w:r w:rsidRPr="00D61CD0">
        <w:rPr>
          <w:rFonts w:ascii="Arial" w:hAnsi="Arial" w:cs="Arial"/>
          <w:sz w:val="20"/>
        </w:rPr>
        <w:t>Espace</w:t>
      </w:r>
      <w:proofErr w:type="spellEnd"/>
      <w:r w:rsidRPr="00D61CD0">
        <w:rPr>
          <w:rFonts w:ascii="Arial" w:hAnsi="Arial" w:cs="Arial"/>
          <w:sz w:val="20"/>
        </w:rPr>
        <w:t xml:space="preserve"> kendi </w:t>
      </w:r>
      <w:proofErr w:type="spellStart"/>
      <w:r w:rsidRPr="00D61CD0">
        <w:rPr>
          <w:rFonts w:ascii="Arial" w:hAnsi="Arial" w:cs="Arial"/>
          <w:sz w:val="20"/>
        </w:rPr>
        <w:t>segmentlerinin</w:t>
      </w:r>
      <w:proofErr w:type="spellEnd"/>
      <w:r w:rsidRPr="00D61CD0">
        <w:rPr>
          <w:rFonts w:ascii="Arial" w:hAnsi="Arial" w:cs="Arial"/>
          <w:sz w:val="20"/>
        </w:rPr>
        <w:t xml:space="preserve"> lideri konumunda yer alırken, </w:t>
      </w:r>
      <w:proofErr w:type="spellStart"/>
      <w:r w:rsidRPr="00D61CD0">
        <w:rPr>
          <w:rFonts w:ascii="Arial" w:hAnsi="Arial" w:cs="Arial"/>
          <w:sz w:val="20"/>
        </w:rPr>
        <w:t>Dacia</w:t>
      </w:r>
      <w:proofErr w:type="spellEnd"/>
      <w:r w:rsidRPr="00D61CD0">
        <w:rPr>
          <w:rFonts w:ascii="Arial" w:hAnsi="Arial" w:cs="Arial"/>
          <w:sz w:val="20"/>
        </w:rPr>
        <w:t xml:space="preserve">, kendi satış rekorunu </w:t>
      </w:r>
      <w:r w:rsidR="000D2571">
        <w:rPr>
          <w:rFonts w:ascii="Arial" w:hAnsi="Arial" w:cs="Arial"/>
          <w:sz w:val="20"/>
        </w:rPr>
        <w:t>perakende</w:t>
      </w:r>
      <w:r w:rsidRPr="00D61CD0">
        <w:rPr>
          <w:rFonts w:ascii="Arial" w:hAnsi="Arial" w:cs="Arial"/>
          <w:sz w:val="20"/>
        </w:rPr>
        <w:t xml:space="preserve"> pazarında lider olan </w:t>
      </w:r>
      <w:proofErr w:type="spellStart"/>
      <w:r w:rsidRPr="00D61CD0">
        <w:rPr>
          <w:rFonts w:ascii="Arial" w:hAnsi="Arial" w:cs="Arial"/>
          <w:sz w:val="20"/>
        </w:rPr>
        <w:t>Sandero</w:t>
      </w:r>
      <w:proofErr w:type="spellEnd"/>
      <w:r w:rsidRPr="00D61CD0">
        <w:rPr>
          <w:rFonts w:ascii="Arial" w:hAnsi="Arial" w:cs="Arial"/>
          <w:sz w:val="20"/>
        </w:rPr>
        <w:t xml:space="preserve"> ile kırdı. Bir önceki yıla göre yüzde 42’</w:t>
      </w:r>
      <w:r w:rsidR="00B67D52" w:rsidRPr="00D61CD0">
        <w:rPr>
          <w:rFonts w:ascii="Arial" w:hAnsi="Arial" w:cs="Arial"/>
          <w:sz w:val="20"/>
        </w:rPr>
        <w:t xml:space="preserve">nin üzerinde bir artışla </w:t>
      </w:r>
      <w:r w:rsidR="000D2571">
        <w:rPr>
          <w:rFonts w:ascii="Arial" w:hAnsi="Arial" w:cs="Arial"/>
          <w:sz w:val="20"/>
        </w:rPr>
        <w:t>9 bin 200’den fazla satış</w:t>
      </w:r>
      <w:r w:rsidRPr="00D61CD0">
        <w:rPr>
          <w:rFonts w:ascii="Arial" w:hAnsi="Arial" w:cs="Arial"/>
          <w:sz w:val="20"/>
        </w:rPr>
        <w:t xml:space="preserve"> ile elektrikli binek otomobili satışlarının </w:t>
      </w:r>
      <w:r w:rsidR="000D2571">
        <w:rPr>
          <w:rFonts w:ascii="Arial" w:hAnsi="Arial" w:cs="Arial"/>
          <w:sz w:val="20"/>
        </w:rPr>
        <w:t>yaklaşık</w:t>
      </w:r>
      <w:r w:rsidRPr="00D61CD0">
        <w:rPr>
          <w:rFonts w:ascii="Arial" w:hAnsi="Arial" w:cs="Arial"/>
          <w:sz w:val="20"/>
        </w:rPr>
        <w:t xml:space="preserve"> yüzde 70’ini oluşturan ZOE ise elektrikli araç pazarının açık ara lideri konumunda yer alıyor. </w:t>
      </w:r>
    </w:p>
    <w:p w:rsidR="009D0337" w:rsidRPr="00D61CD0" w:rsidRDefault="009D0337" w:rsidP="009D0337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b/>
          <w:sz w:val="12"/>
        </w:rPr>
      </w:pPr>
    </w:p>
    <w:p w:rsidR="00EE5A42" w:rsidRPr="00D61CD0" w:rsidRDefault="00C3181C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Avrupa dışındaki</w:t>
      </w:r>
      <w:r w:rsidRPr="00D61CD0">
        <w:rPr>
          <w:rFonts w:ascii="Arial" w:hAnsi="Arial" w:cs="Arial"/>
          <w:sz w:val="20"/>
        </w:rPr>
        <w:t xml:space="preserve"> tüm bölgelerde de satı</w:t>
      </w:r>
      <w:r w:rsidR="000D2571">
        <w:rPr>
          <w:rFonts w:ascii="Arial" w:hAnsi="Arial" w:cs="Arial"/>
          <w:sz w:val="20"/>
        </w:rPr>
        <w:t>ş adedi ve pazar payı yükseliş kaydetti</w:t>
      </w:r>
      <w:r w:rsidRPr="00D61CD0">
        <w:rPr>
          <w:rFonts w:ascii="Arial" w:hAnsi="Arial" w:cs="Arial"/>
          <w:sz w:val="20"/>
        </w:rPr>
        <w:t>.</w:t>
      </w:r>
      <w:r w:rsidR="00FD1D3A" w:rsidRPr="00D61CD0">
        <w:rPr>
          <w:rFonts w:ascii="Arial" w:hAnsi="Arial" w:cs="Arial"/>
          <w:sz w:val="20"/>
        </w:rPr>
        <w:t xml:space="preserve"> Grup, satış</w:t>
      </w:r>
      <w:r w:rsidR="00E04B57" w:rsidRPr="00D61CD0">
        <w:rPr>
          <w:rFonts w:ascii="Arial" w:hAnsi="Arial" w:cs="Arial"/>
          <w:sz w:val="20"/>
        </w:rPr>
        <w:t>l</w:t>
      </w:r>
      <w:r w:rsidR="00FD1D3A" w:rsidRPr="00D61CD0">
        <w:rPr>
          <w:rFonts w:ascii="Arial" w:hAnsi="Arial" w:cs="Arial"/>
          <w:sz w:val="20"/>
        </w:rPr>
        <w:t>arını yüzde 3,4 oranında büy</w:t>
      </w:r>
      <w:r w:rsidR="00B55102">
        <w:rPr>
          <w:rFonts w:ascii="Arial" w:hAnsi="Arial" w:cs="Arial"/>
          <w:sz w:val="20"/>
        </w:rPr>
        <w:t>üyen bir pazarda yüzde 16,8 art</w:t>
      </w:r>
      <w:r w:rsidR="00FD1D3A" w:rsidRPr="00D61CD0">
        <w:rPr>
          <w:rFonts w:ascii="Arial" w:hAnsi="Arial" w:cs="Arial"/>
          <w:sz w:val="20"/>
        </w:rPr>
        <w:t>ırdı.</w:t>
      </w:r>
      <w:r w:rsidR="00C029B7" w:rsidRPr="00D61CD0">
        <w:rPr>
          <w:rFonts w:ascii="Arial" w:hAnsi="Arial" w:cs="Arial"/>
          <w:sz w:val="20"/>
        </w:rPr>
        <w:t xml:space="preserve"> </w:t>
      </w:r>
      <w:r w:rsidRPr="00D61CD0">
        <w:rPr>
          <w:rFonts w:ascii="Arial" w:hAnsi="Arial" w:cs="Arial"/>
          <w:sz w:val="20"/>
        </w:rPr>
        <w:t xml:space="preserve">Renault Grubu, ürün gamının başarısıyla konumunu sağlamlaştırıyor. Güney Kore’de QM6 ve SM6, Rusya’da </w:t>
      </w:r>
      <w:proofErr w:type="spellStart"/>
      <w:r w:rsidRPr="00D61CD0">
        <w:rPr>
          <w:rFonts w:ascii="Arial" w:hAnsi="Arial" w:cs="Arial"/>
          <w:sz w:val="20"/>
        </w:rPr>
        <w:t>Captur</w:t>
      </w:r>
      <w:proofErr w:type="spellEnd"/>
      <w:r w:rsidRPr="00D61CD0">
        <w:rPr>
          <w:rFonts w:ascii="Arial" w:hAnsi="Arial" w:cs="Arial"/>
          <w:sz w:val="20"/>
        </w:rPr>
        <w:t xml:space="preserve">, </w:t>
      </w:r>
      <w:proofErr w:type="spellStart"/>
      <w:r w:rsidRPr="00D61CD0">
        <w:rPr>
          <w:rFonts w:ascii="Arial" w:hAnsi="Arial" w:cs="Arial"/>
          <w:sz w:val="20"/>
        </w:rPr>
        <w:t>Vesta</w:t>
      </w:r>
      <w:proofErr w:type="spellEnd"/>
      <w:r w:rsidRPr="00D61CD0">
        <w:rPr>
          <w:rFonts w:ascii="Arial" w:hAnsi="Arial" w:cs="Arial"/>
          <w:sz w:val="20"/>
        </w:rPr>
        <w:t xml:space="preserve"> ve </w:t>
      </w:r>
      <w:proofErr w:type="spellStart"/>
      <w:r w:rsidRPr="00D61CD0">
        <w:rPr>
          <w:rFonts w:ascii="Arial" w:hAnsi="Arial" w:cs="Arial"/>
          <w:sz w:val="20"/>
        </w:rPr>
        <w:t>Xray</w:t>
      </w:r>
      <w:proofErr w:type="spellEnd"/>
      <w:r w:rsidRPr="00D61CD0">
        <w:rPr>
          <w:rFonts w:ascii="Arial" w:hAnsi="Arial" w:cs="Arial"/>
          <w:sz w:val="20"/>
        </w:rPr>
        <w:t xml:space="preserve">, Çin’de </w:t>
      </w:r>
      <w:proofErr w:type="spellStart"/>
      <w:r w:rsidRPr="00D61CD0">
        <w:rPr>
          <w:rFonts w:ascii="Arial" w:hAnsi="Arial" w:cs="Arial"/>
          <w:sz w:val="20"/>
        </w:rPr>
        <w:t>Koleos</w:t>
      </w:r>
      <w:proofErr w:type="spellEnd"/>
      <w:r w:rsidRPr="00D61CD0">
        <w:rPr>
          <w:rFonts w:ascii="Arial" w:hAnsi="Arial" w:cs="Arial"/>
          <w:sz w:val="20"/>
        </w:rPr>
        <w:t xml:space="preserve">, Türkiye’de </w:t>
      </w:r>
      <w:proofErr w:type="spellStart"/>
      <w:r w:rsidRPr="00D61CD0">
        <w:rPr>
          <w:rFonts w:ascii="Arial" w:hAnsi="Arial" w:cs="Arial"/>
          <w:sz w:val="20"/>
        </w:rPr>
        <w:t>Megane</w:t>
      </w:r>
      <w:proofErr w:type="spellEnd"/>
      <w:r w:rsidRPr="00D61CD0">
        <w:rPr>
          <w:rFonts w:ascii="Arial" w:hAnsi="Arial" w:cs="Arial"/>
          <w:sz w:val="20"/>
        </w:rPr>
        <w:t xml:space="preserve"> Sedan ve Amerika kıtasında </w:t>
      </w:r>
      <w:proofErr w:type="spellStart"/>
      <w:r w:rsidRPr="00D61CD0">
        <w:rPr>
          <w:rFonts w:ascii="Arial" w:hAnsi="Arial" w:cs="Arial"/>
          <w:sz w:val="20"/>
        </w:rPr>
        <w:t>Oroch</w:t>
      </w:r>
      <w:proofErr w:type="spellEnd"/>
      <w:r w:rsidRPr="00D61CD0">
        <w:rPr>
          <w:rFonts w:ascii="Arial" w:hAnsi="Arial" w:cs="Arial"/>
          <w:sz w:val="20"/>
        </w:rPr>
        <w:t>.</w:t>
      </w:r>
    </w:p>
    <w:p w:rsidR="00393023" w:rsidRPr="00D61CD0" w:rsidRDefault="00393023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4F790A" w:rsidRPr="00D61CD0" w:rsidRDefault="00393023" w:rsidP="00B52E87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Afrika-Orta Doğu-Hindistan’da</w:t>
      </w:r>
      <w:r w:rsidRPr="00D61CD0">
        <w:rPr>
          <w:rFonts w:ascii="Arial" w:hAnsi="Arial" w:cs="Arial"/>
          <w:sz w:val="20"/>
        </w:rPr>
        <w:t>, Grubun satışları yüzde 19,3 artarken, pazar payı yüzde 6,4 olarak gerçekleşti (+1,1 puan).</w:t>
      </w:r>
    </w:p>
    <w:p w:rsidR="009B6420" w:rsidRPr="00D61CD0" w:rsidRDefault="00393023" w:rsidP="00B52E87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İran’da</w:t>
      </w:r>
      <w:r w:rsidRPr="00D61CD0">
        <w:rPr>
          <w:rFonts w:ascii="Arial" w:hAnsi="Arial" w:cs="Arial"/>
          <w:sz w:val="20"/>
        </w:rPr>
        <w:t xml:space="preserve">, </w:t>
      </w:r>
      <w:proofErr w:type="spellStart"/>
      <w:r w:rsidRPr="00D61CD0">
        <w:rPr>
          <w:rFonts w:ascii="Arial" w:hAnsi="Arial" w:cs="Arial"/>
          <w:sz w:val="20"/>
        </w:rPr>
        <w:t>Tondar</w:t>
      </w:r>
      <w:proofErr w:type="spellEnd"/>
      <w:r w:rsidRPr="00D61CD0">
        <w:rPr>
          <w:rFonts w:ascii="Arial" w:hAnsi="Arial" w:cs="Arial"/>
          <w:sz w:val="20"/>
        </w:rPr>
        <w:t xml:space="preserve"> ve </w:t>
      </w:r>
      <w:proofErr w:type="spellStart"/>
      <w:r w:rsidRPr="00D61CD0">
        <w:rPr>
          <w:rFonts w:ascii="Arial" w:hAnsi="Arial" w:cs="Arial"/>
          <w:sz w:val="20"/>
        </w:rPr>
        <w:t>Sandero’nun</w:t>
      </w:r>
      <w:proofErr w:type="spellEnd"/>
      <w:r w:rsidRPr="00D61CD0">
        <w:rPr>
          <w:rFonts w:ascii="Arial" w:hAnsi="Arial" w:cs="Arial"/>
          <w:sz w:val="20"/>
        </w:rPr>
        <w:t xml:space="preserve"> başarısı sayesinde </w:t>
      </w:r>
      <w:r w:rsidR="000D2571">
        <w:rPr>
          <w:rFonts w:ascii="Arial" w:hAnsi="Arial" w:cs="Arial"/>
          <w:sz w:val="20"/>
        </w:rPr>
        <w:t xml:space="preserve">satışlar büyük bir artış sergiledi. (+yüzde </w:t>
      </w:r>
      <w:r w:rsidR="004F790A" w:rsidRPr="00D61CD0">
        <w:rPr>
          <w:rFonts w:ascii="Arial" w:hAnsi="Arial" w:cs="Arial"/>
          <w:sz w:val="20"/>
        </w:rPr>
        <w:t>100,3)</w:t>
      </w:r>
    </w:p>
    <w:p w:rsidR="009B6420" w:rsidRPr="00D61CD0" w:rsidRDefault="009B6420" w:rsidP="00B52E87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Hindistan</w:t>
      </w:r>
      <w:r w:rsidRPr="00D61CD0">
        <w:rPr>
          <w:rFonts w:ascii="Arial" w:hAnsi="Arial" w:cs="Arial"/>
          <w:sz w:val="20"/>
        </w:rPr>
        <w:t xml:space="preserve">’da Renault, yüzde 3,3’lük </w:t>
      </w:r>
      <w:r w:rsidR="00E8641D" w:rsidRPr="00D61CD0">
        <w:rPr>
          <w:rFonts w:ascii="Arial" w:hAnsi="Arial" w:cs="Arial"/>
          <w:sz w:val="20"/>
        </w:rPr>
        <w:t>p</w:t>
      </w:r>
      <w:r w:rsidRPr="00D61CD0">
        <w:rPr>
          <w:rFonts w:ascii="Arial" w:hAnsi="Arial" w:cs="Arial"/>
          <w:sz w:val="20"/>
        </w:rPr>
        <w:t>azar p</w:t>
      </w:r>
      <w:r w:rsidR="000D2571">
        <w:rPr>
          <w:rFonts w:ascii="Arial" w:hAnsi="Arial" w:cs="Arial"/>
          <w:sz w:val="20"/>
        </w:rPr>
        <w:t>ayı ile en önemli Avrupalı otomobil</w:t>
      </w:r>
      <w:r w:rsidRPr="00D61CD0">
        <w:rPr>
          <w:rFonts w:ascii="Arial" w:hAnsi="Arial" w:cs="Arial"/>
          <w:sz w:val="20"/>
        </w:rPr>
        <w:t xml:space="preserve"> markası olmaya devam ediyor.</w:t>
      </w:r>
    </w:p>
    <w:p w:rsidR="004F790A" w:rsidRPr="00D61CD0" w:rsidRDefault="004F790A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Kuzey Afrika’da</w:t>
      </w:r>
      <w:r w:rsidRPr="00D61CD0">
        <w:rPr>
          <w:rFonts w:ascii="Arial" w:hAnsi="Arial" w:cs="Arial"/>
          <w:sz w:val="20"/>
        </w:rPr>
        <w:t xml:space="preserve">, Grubun satışları yüzde 8,3 daralan bir pazarda yüzde 10,1 oranında büyüdü. Grup, 7,2 puan artışı ile pazardan yüzde 43 oranında pay aldı. </w:t>
      </w:r>
    </w:p>
    <w:p w:rsidR="00224FC0" w:rsidRPr="00D61CD0" w:rsidRDefault="00224FC0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6A7452" w:rsidRPr="00D61CD0" w:rsidRDefault="00224FC0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Avrasya</w:t>
      </w:r>
      <w:r w:rsidRPr="00D61CD0">
        <w:rPr>
          <w:rFonts w:ascii="Arial" w:hAnsi="Arial" w:cs="Arial"/>
          <w:sz w:val="20"/>
        </w:rPr>
        <w:t>’da yüzde 2,5 oranında büyüyen bir pazarda, satışlar yüzde 8,6 artış gösterdi.</w:t>
      </w:r>
      <w:r w:rsidR="006A7452" w:rsidRPr="00D61CD0">
        <w:rPr>
          <w:rFonts w:ascii="Arial" w:hAnsi="Arial" w:cs="Arial"/>
          <w:sz w:val="20"/>
        </w:rPr>
        <w:t xml:space="preserve"> Grubun Lada markasını da kapsayan </w:t>
      </w:r>
      <w:r w:rsidR="0048431E" w:rsidRPr="00D61CD0">
        <w:rPr>
          <w:rFonts w:ascii="Arial" w:hAnsi="Arial" w:cs="Arial"/>
          <w:sz w:val="20"/>
        </w:rPr>
        <w:t>p</w:t>
      </w:r>
      <w:r w:rsidR="006A7452" w:rsidRPr="00D61CD0">
        <w:rPr>
          <w:rFonts w:ascii="Arial" w:hAnsi="Arial" w:cs="Arial"/>
          <w:sz w:val="20"/>
        </w:rPr>
        <w:t>azar payı Rusya’daki dinamizm sayesinde 1,4 puan artarak yüzde 24,5 oldu.</w:t>
      </w:r>
    </w:p>
    <w:p w:rsidR="006A7452" w:rsidRPr="00D61CD0" w:rsidRDefault="000D2571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Dört</w:t>
      </w:r>
      <w:r w:rsidR="006A7452" w:rsidRPr="00D61CD0">
        <w:rPr>
          <w:rFonts w:ascii="Arial" w:hAnsi="Arial" w:cs="Arial"/>
          <w:sz w:val="20"/>
        </w:rPr>
        <w:t xml:space="preserve"> yıl</w:t>
      </w:r>
      <w:r>
        <w:rPr>
          <w:rFonts w:ascii="Arial" w:hAnsi="Arial" w:cs="Arial"/>
          <w:sz w:val="20"/>
        </w:rPr>
        <w:t>dan bu yana</w:t>
      </w:r>
      <w:r w:rsidR="006A7452" w:rsidRPr="00D61CD0">
        <w:rPr>
          <w:rFonts w:ascii="Arial" w:hAnsi="Arial" w:cs="Arial"/>
          <w:sz w:val="20"/>
        </w:rPr>
        <w:t xml:space="preserve"> </w:t>
      </w:r>
      <w:r w:rsidRPr="00D61CD0">
        <w:rPr>
          <w:rFonts w:ascii="Arial" w:hAnsi="Arial" w:cs="Arial"/>
          <w:sz w:val="20"/>
        </w:rPr>
        <w:t xml:space="preserve">ilk kez </w:t>
      </w:r>
      <w:r>
        <w:rPr>
          <w:rFonts w:ascii="Arial" w:hAnsi="Arial" w:cs="Arial"/>
          <w:sz w:val="20"/>
        </w:rPr>
        <w:t xml:space="preserve">büyüyen </w:t>
      </w:r>
      <w:r w:rsidR="006A7452" w:rsidRPr="00D61CD0">
        <w:rPr>
          <w:rFonts w:ascii="Arial" w:hAnsi="Arial" w:cs="Arial"/>
          <w:b/>
          <w:sz w:val="20"/>
        </w:rPr>
        <w:t>Rusya</w:t>
      </w:r>
      <w:r w:rsidR="006A7452" w:rsidRPr="00D61CD0">
        <w:rPr>
          <w:rFonts w:ascii="Arial" w:hAnsi="Arial" w:cs="Arial"/>
          <w:sz w:val="20"/>
        </w:rPr>
        <w:t xml:space="preserve"> pazarı ise yılın ilk yarısında yüzde 6,9 büyüdü. Grup, satışlarını Lada da </w:t>
      </w:r>
      <w:proofErr w:type="gramStart"/>
      <w:r w:rsidR="006A7452" w:rsidRPr="00D61CD0">
        <w:rPr>
          <w:rFonts w:ascii="Arial" w:hAnsi="Arial" w:cs="Arial"/>
          <w:sz w:val="20"/>
        </w:rPr>
        <w:t>dahil</w:t>
      </w:r>
      <w:proofErr w:type="gramEnd"/>
      <w:r w:rsidR="006A7452" w:rsidRPr="00D61CD0">
        <w:rPr>
          <w:rFonts w:ascii="Arial" w:hAnsi="Arial" w:cs="Arial"/>
          <w:sz w:val="20"/>
        </w:rPr>
        <w:t xml:space="preserve"> o</w:t>
      </w:r>
      <w:r w:rsidR="00620E21">
        <w:rPr>
          <w:rFonts w:ascii="Arial" w:hAnsi="Arial" w:cs="Arial"/>
          <w:sz w:val="20"/>
        </w:rPr>
        <w:t>lmak üzere yüzde 14 oranında ar</w:t>
      </w:r>
      <w:r w:rsidR="006A7452" w:rsidRPr="00D61CD0">
        <w:rPr>
          <w:rFonts w:ascii="Arial" w:hAnsi="Arial" w:cs="Arial"/>
          <w:sz w:val="20"/>
        </w:rPr>
        <w:t>tırdı.</w:t>
      </w:r>
    </w:p>
    <w:p w:rsidR="00B70314" w:rsidRPr="00D61CD0" w:rsidRDefault="006A7452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Lada</w:t>
      </w:r>
      <w:r w:rsidRPr="00D61CD0">
        <w:rPr>
          <w:rFonts w:ascii="Arial" w:hAnsi="Arial" w:cs="Arial"/>
          <w:sz w:val="20"/>
        </w:rPr>
        <w:t xml:space="preserve">, yeni modelleri </w:t>
      </w:r>
      <w:proofErr w:type="spellStart"/>
      <w:r w:rsidRPr="00D61CD0">
        <w:rPr>
          <w:rFonts w:ascii="Arial" w:hAnsi="Arial" w:cs="Arial"/>
          <w:sz w:val="20"/>
        </w:rPr>
        <w:t>Vesta</w:t>
      </w:r>
      <w:proofErr w:type="spellEnd"/>
      <w:r w:rsidRPr="00D61CD0">
        <w:rPr>
          <w:rFonts w:ascii="Arial" w:hAnsi="Arial" w:cs="Arial"/>
          <w:sz w:val="20"/>
        </w:rPr>
        <w:t xml:space="preserve"> ve </w:t>
      </w:r>
      <w:proofErr w:type="spellStart"/>
      <w:r w:rsidRPr="00D61CD0">
        <w:rPr>
          <w:rFonts w:ascii="Arial" w:hAnsi="Arial" w:cs="Arial"/>
          <w:sz w:val="20"/>
        </w:rPr>
        <w:t>Xray’in</w:t>
      </w:r>
      <w:proofErr w:type="spellEnd"/>
      <w:r w:rsidRPr="00D61CD0">
        <w:rPr>
          <w:rFonts w:ascii="Arial" w:hAnsi="Arial" w:cs="Arial"/>
          <w:sz w:val="20"/>
        </w:rPr>
        <w:t xml:space="preserve"> başarısı sayesinde </w:t>
      </w:r>
      <w:r w:rsidR="003C7810">
        <w:rPr>
          <w:rFonts w:ascii="Arial" w:hAnsi="Arial" w:cs="Arial"/>
          <w:sz w:val="20"/>
        </w:rPr>
        <w:t>satışını yüzde 12,8 oranında ar</w:t>
      </w:r>
      <w:r w:rsidRPr="00D61CD0">
        <w:rPr>
          <w:rFonts w:ascii="Arial" w:hAnsi="Arial" w:cs="Arial"/>
          <w:sz w:val="20"/>
        </w:rPr>
        <w:t>tırarak, pazardan neredeyse iki kat hızlı büyüyerek yüzde 19,5’lik bir pazar payına ulaştı.</w:t>
      </w:r>
      <w:r w:rsidR="00FA3DF3">
        <w:rPr>
          <w:rFonts w:ascii="Arial" w:hAnsi="Arial" w:cs="Arial"/>
          <w:sz w:val="20"/>
        </w:rPr>
        <w:t xml:space="preserve"> (+1 puan)</w:t>
      </w:r>
    </w:p>
    <w:p w:rsidR="00201F72" w:rsidRDefault="00201F72" w:rsidP="00D61CD0">
      <w:pPr>
        <w:pStyle w:val="ListeParagraf"/>
        <w:spacing w:line="360" w:lineRule="auto"/>
        <w:ind w:left="1134" w:right="522"/>
        <w:jc w:val="both"/>
        <w:rPr>
          <w:rFonts w:ascii="Arial" w:hAnsi="Arial"/>
          <w:sz w:val="20"/>
        </w:rPr>
      </w:pPr>
      <w:r w:rsidRPr="00201F72">
        <w:rPr>
          <w:rFonts w:ascii="Arial" w:hAnsi="Arial"/>
          <w:b/>
          <w:sz w:val="20"/>
        </w:rPr>
        <w:t>Renault</w:t>
      </w:r>
      <w:r>
        <w:rPr>
          <w:rFonts w:ascii="Arial" w:hAnsi="Arial"/>
          <w:sz w:val="20"/>
        </w:rPr>
        <w:t xml:space="preserve"> markası 0,7 puan </w:t>
      </w:r>
      <w:r w:rsidR="007762AE">
        <w:rPr>
          <w:rFonts w:ascii="Arial" w:hAnsi="Arial"/>
          <w:sz w:val="20"/>
        </w:rPr>
        <w:t>artış ile</w:t>
      </w:r>
      <w:r>
        <w:rPr>
          <w:rFonts w:ascii="Arial" w:hAnsi="Arial"/>
          <w:sz w:val="20"/>
        </w:rPr>
        <w:t xml:space="preserve"> yüzde 8,5’lik bir </w:t>
      </w:r>
      <w:r w:rsidR="00DE3290">
        <w:rPr>
          <w:rFonts w:ascii="Arial" w:hAnsi="Arial"/>
          <w:sz w:val="20"/>
        </w:rPr>
        <w:t>p</w:t>
      </w:r>
      <w:r w:rsidR="007762AE">
        <w:rPr>
          <w:rFonts w:ascii="Arial" w:hAnsi="Arial"/>
          <w:sz w:val="20"/>
        </w:rPr>
        <w:t xml:space="preserve">azar payı elde </w:t>
      </w:r>
      <w:proofErr w:type="spellStart"/>
      <w:r w:rsidR="007762AE">
        <w:rPr>
          <w:rFonts w:ascii="Arial" w:hAnsi="Arial"/>
          <w:sz w:val="20"/>
        </w:rPr>
        <w:t>etti</w:t>
      </w:r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. Captur </w:t>
      </w:r>
      <w:r w:rsidR="007762AE">
        <w:rPr>
          <w:rFonts w:ascii="Arial" w:hAnsi="Arial"/>
          <w:sz w:val="20"/>
        </w:rPr>
        <w:t>satışları altı aylık dönemde 14 bin 140 adedi</w:t>
      </w:r>
      <w:r>
        <w:rPr>
          <w:rFonts w:ascii="Arial" w:hAnsi="Arial"/>
          <w:sz w:val="20"/>
        </w:rPr>
        <w:t xml:space="preserve"> aştı.</w:t>
      </w:r>
      <w:r w:rsidR="00D806AF">
        <w:rPr>
          <w:rFonts w:ascii="Arial" w:hAnsi="Arial"/>
          <w:sz w:val="20"/>
        </w:rPr>
        <w:t xml:space="preserve"> </w:t>
      </w:r>
    </w:p>
    <w:p w:rsidR="00D806AF" w:rsidRPr="00D806AF" w:rsidRDefault="007762AE" w:rsidP="00D806AF">
      <w:pPr>
        <w:pStyle w:val="ListeParagraf"/>
        <w:spacing w:line="360" w:lineRule="auto"/>
        <w:ind w:left="1134" w:right="52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Rusya, Lada’nın satış</w:t>
      </w:r>
      <w:r w:rsidR="00D806AF" w:rsidRPr="00D61CD0">
        <w:rPr>
          <w:rFonts w:ascii="Arial" w:hAnsi="Arial"/>
          <w:sz w:val="20"/>
        </w:rPr>
        <w:t xml:space="preserve"> </w:t>
      </w:r>
      <w:proofErr w:type="gramStart"/>
      <w:r w:rsidR="00D806AF" w:rsidRPr="00D61CD0">
        <w:rPr>
          <w:rFonts w:ascii="Arial" w:hAnsi="Arial"/>
          <w:sz w:val="20"/>
        </w:rPr>
        <w:t>konsolidasyonuyla</w:t>
      </w:r>
      <w:proofErr w:type="gramEnd"/>
      <w:r w:rsidR="00D806AF" w:rsidRPr="00D61CD0">
        <w:rPr>
          <w:rFonts w:ascii="Arial" w:hAnsi="Arial"/>
          <w:sz w:val="20"/>
        </w:rPr>
        <w:t xml:space="preserve"> birlikte Grubun 2. pazarı oldu.</w:t>
      </w:r>
    </w:p>
    <w:p w:rsidR="00D61CD0" w:rsidRPr="00D61CD0" w:rsidRDefault="00453170" w:rsidP="00D61CD0">
      <w:pPr>
        <w:pStyle w:val="ListeParagraf"/>
        <w:spacing w:line="360" w:lineRule="auto"/>
        <w:ind w:left="1134" w:right="522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Türkiye’de</w:t>
      </w:r>
      <w:r w:rsidR="00EF5DDC" w:rsidRPr="00D61CD0">
        <w:rPr>
          <w:rFonts w:ascii="Arial" w:hAnsi="Arial" w:cs="Arial"/>
          <w:sz w:val="20"/>
        </w:rPr>
        <w:t>, yüzde 8,6</w:t>
      </w:r>
      <w:r w:rsidRPr="00D61CD0">
        <w:rPr>
          <w:rFonts w:ascii="Arial" w:hAnsi="Arial" w:cs="Arial"/>
          <w:sz w:val="20"/>
        </w:rPr>
        <w:t xml:space="preserve"> daralan pazarda Renault, </w:t>
      </w:r>
      <w:proofErr w:type="spellStart"/>
      <w:r w:rsidRPr="00D61CD0">
        <w:rPr>
          <w:rFonts w:ascii="Arial" w:hAnsi="Arial" w:cs="Arial"/>
          <w:sz w:val="20"/>
        </w:rPr>
        <w:t>Megane</w:t>
      </w:r>
      <w:proofErr w:type="spellEnd"/>
      <w:r w:rsidRPr="00D61CD0">
        <w:rPr>
          <w:rFonts w:ascii="Arial" w:hAnsi="Arial" w:cs="Arial"/>
          <w:sz w:val="20"/>
        </w:rPr>
        <w:t xml:space="preserve"> Sedan ve </w:t>
      </w:r>
      <w:proofErr w:type="spellStart"/>
      <w:r w:rsidRPr="00D61CD0">
        <w:rPr>
          <w:rFonts w:ascii="Arial" w:hAnsi="Arial" w:cs="Arial"/>
          <w:sz w:val="20"/>
        </w:rPr>
        <w:t>Clio</w:t>
      </w:r>
      <w:proofErr w:type="spellEnd"/>
      <w:r w:rsidRPr="00D61CD0">
        <w:rPr>
          <w:rFonts w:ascii="Arial" w:hAnsi="Arial" w:cs="Arial"/>
          <w:sz w:val="20"/>
        </w:rPr>
        <w:t xml:space="preserve"> Ailesi’nin katkısı ile yüzde 13,7 pazar payı ile yılın ilk yarısında pazarın lider markası. </w:t>
      </w:r>
      <w:proofErr w:type="spellStart"/>
      <w:r w:rsidRPr="00D61CD0">
        <w:rPr>
          <w:rFonts w:ascii="Arial" w:hAnsi="Arial" w:cs="Arial"/>
          <w:sz w:val="20"/>
        </w:rPr>
        <w:t>Megane</w:t>
      </w:r>
      <w:proofErr w:type="spellEnd"/>
      <w:r w:rsidRPr="00D61CD0">
        <w:rPr>
          <w:rFonts w:ascii="Arial" w:hAnsi="Arial" w:cs="Arial"/>
          <w:sz w:val="20"/>
        </w:rPr>
        <w:t xml:space="preserve"> Sedan ve </w:t>
      </w:r>
      <w:proofErr w:type="spellStart"/>
      <w:r w:rsidRPr="00D61CD0">
        <w:rPr>
          <w:rFonts w:ascii="Arial" w:hAnsi="Arial" w:cs="Arial"/>
          <w:sz w:val="20"/>
        </w:rPr>
        <w:t>Clio</w:t>
      </w:r>
      <w:proofErr w:type="spellEnd"/>
      <w:r w:rsidRPr="00D61CD0">
        <w:rPr>
          <w:rFonts w:ascii="Arial" w:hAnsi="Arial" w:cs="Arial"/>
          <w:sz w:val="20"/>
        </w:rPr>
        <w:t xml:space="preserve"> HB </w:t>
      </w:r>
      <w:r w:rsidR="00D61CD0" w:rsidRPr="00D61CD0">
        <w:rPr>
          <w:rFonts w:ascii="Arial" w:hAnsi="Arial" w:cs="Arial"/>
          <w:sz w:val="20"/>
        </w:rPr>
        <w:t xml:space="preserve">Türkiye’nin en çok satılan ilk üç </w:t>
      </w:r>
      <w:r w:rsidRPr="00D61CD0">
        <w:rPr>
          <w:rFonts w:ascii="Arial" w:hAnsi="Arial" w:cs="Arial"/>
          <w:sz w:val="20"/>
        </w:rPr>
        <w:t xml:space="preserve">modeli arasında yer alıyor.  </w:t>
      </w:r>
    </w:p>
    <w:p w:rsidR="00504749" w:rsidRPr="00D61CD0" w:rsidRDefault="00504749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Asya Pasifik</w:t>
      </w:r>
      <w:r w:rsidRPr="00D61CD0">
        <w:rPr>
          <w:rFonts w:ascii="Arial" w:hAnsi="Arial" w:cs="Arial"/>
          <w:sz w:val="20"/>
        </w:rPr>
        <w:t xml:space="preserve"> bölgesinde, yüzde 3,6 büyüyen bir pazarda satışlar yüzde 50,5 arttı.</w:t>
      </w:r>
    </w:p>
    <w:p w:rsidR="006E6E3F" w:rsidRPr="00D61CD0" w:rsidRDefault="00504749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>Çin’de</w:t>
      </w:r>
      <w:r w:rsidR="007762AE">
        <w:rPr>
          <w:rFonts w:ascii="Arial" w:hAnsi="Arial" w:cs="Arial"/>
          <w:sz w:val="20"/>
        </w:rPr>
        <w:t xml:space="preserve">, Grubun </w:t>
      </w:r>
      <w:r w:rsidRPr="00D61CD0">
        <w:rPr>
          <w:rFonts w:ascii="Arial" w:hAnsi="Arial" w:cs="Arial"/>
          <w:sz w:val="20"/>
        </w:rPr>
        <w:t xml:space="preserve">satış adedi </w:t>
      </w:r>
      <w:r w:rsidR="007762AE">
        <w:rPr>
          <w:rFonts w:ascii="Arial" w:hAnsi="Arial" w:cs="Arial"/>
          <w:sz w:val="20"/>
        </w:rPr>
        <w:t>yaklaşık</w:t>
      </w:r>
      <w:r w:rsidRPr="00D61CD0">
        <w:rPr>
          <w:rFonts w:ascii="Arial" w:hAnsi="Arial" w:cs="Arial"/>
          <w:sz w:val="20"/>
        </w:rPr>
        <w:t xml:space="preserve"> 36 bine ulaştı. (2016’nın ilk yarısında bu rakam 9 bin 771 idi). Bunun 21 bin adedi</w:t>
      </w:r>
      <w:r w:rsidR="007762AE">
        <w:rPr>
          <w:rFonts w:ascii="Arial" w:hAnsi="Arial" w:cs="Arial"/>
          <w:sz w:val="20"/>
        </w:rPr>
        <w:t>,</w:t>
      </w:r>
      <w:r w:rsidRPr="00D61CD0">
        <w:rPr>
          <w:rFonts w:ascii="Arial" w:hAnsi="Arial" w:cs="Arial"/>
          <w:sz w:val="20"/>
        </w:rPr>
        <w:t xml:space="preserve"> 2016 so</w:t>
      </w:r>
      <w:r w:rsidR="007762AE">
        <w:rPr>
          <w:rFonts w:ascii="Arial" w:hAnsi="Arial" w:cs="Arial"/>
          <w:sz w:val="20"/>
        </w:rPr>
        <w:t xml:space="preserve">nunda piyasaya sunulan ve Çin’de üretilen </w:t>
      </w:r>
      <w:r w:rsidRPr="00D61CD0">
        <w:rPr>
          <w:rFonts w:ascii="Arial" w:hAnsi="Arial" w:cs="Arial"/>
          <w:sz w:val="20"/>
        </w:rPr>
        <w:t xml:space="preserve">‘’Yeni </w:t>
      </w:r>
      <w:proofErr w:type="spellStart"/>
      <w:r w:rsidRPr="00D61CD0">
        <w:rPr>
          <w:rFonts w:ascii="Arial" w:hAnsi="Arial" w:cs="Arial"/>
          <w:sz w:val="20"/>
        </w:rPr>
        <w:t>Koleos</w:t>
      </w:r>
      <w:proofErr w:type="spellEnd"/>
      <w:r w:rsidRPr="00D61CD0">
        <w:rPr>
          <w:rFonts w:ascii="Arial" w:hAnsi="Arial" w:cs="Arial"/>
          <w:sz w:val="20"/>
        </w:rPr>
        <w:t>’’ oldu.</w:t>
      </w:r>
    </w:p>
    <w:p w:rsidR="00A325B8" w:rsidRPr="00D61CD0" w:rsidRDefault="006E6E3F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b/>
          <w:sz w:val="20"/>
        </w:rPr>
        <w:t xml:space="preserve">Renault </w:t>
      </w:r>
      <w:proofErr w:type="spellStart"/>
      <w:r w:rsidRPr="00D61CD0">
        <w:rPr>
          <w:rFonts w:ascii="Arial" w:hAnsi="Arial" w:cs="Arial"/>
          <w:b/>
          <w:sz w:val="20"/>
        </w:rPr>
        <w:t>Samsung</w:t>
      </w:r>
      <w:proofErr w:type="spellEnd"/>
      <w:r w:rsidRPr="00D61CD0">
        <w:rPr>
          <w:rFonts w:ascii="Arial" w:hAnsi="Arial" w:cs="Arial"/>
          <w:b/>
          <w:sz w:val="20"/>
        </w:rPr>
        <w:t xml:space="preserve"> </w:t>
      </w:r>
      <w:proofErr w:type="spellStart"/>
      <w:r w:rsidRPr="00D61CD0">
        <w:rPr>
          <w:rFonts w:ascii="Arial" w:hAnsi="Arial" w:cs="Arial"/>
          <w:b/>
          <w:sz w:val="20"/>
        </w:rPr>
        <w:t>Motors</w:t>
      </w:r>
      <w:proofErr w:type="spellEnd"/>
      <w:r w:rsidRPr="00D61CD0">
        <w:rPr>
          <w:rFonts w:ascii="Arial" w:hAnsi="Arial" w:cs="Arial"/>
          <w:b/>
          <w:sz w:val="20"/>
        </w:rPr>
        <w:t xml:space="preserve">, </w:t>
      </w:r>
      <w:r w:rsidRPr="00D61CD0">
        <w:rPr>
          <w:rFonts w:ascii="Arial" w:hAnsi="Arial" w:cs="Arial"/>
          <w:sz w:val="20"/>
        </w:rPr>
        <w:t>Güney Kore’de yüzde 4,2 daralan bir p</w:t>
      </w:r>
      <w:r w:rsidR="002C1079">
        <w:rPr>
          <w:rFonts w:ascii="Arial" w:hAnsi="Arial" w:cs="Arial"/>
          <w:sz w:val="20"/>
        </w:rPr>
        <w:t>azarda yüzde 12,5 büyüdü. Markanın pazar pa</w:t>
      </w:r>
      <w:r w:rsidR="007762AE">
        <w:rPr>
          <w:rFonts w:ascii="Arial" w:hAnsi="Arial" w:cs="Arial"/>
          <w:sz w:val="20"/>
        </w:rPr>
        <w:t>yı, yeni model</w:t>
      </w:r>
      <w:r w:rsidR="002C1079">
        <w:rPr>
          <w:rFonts w:ascii="Arial" w:hAnsi="Arial" w:cs="Arial"/>
          <w:sz w:val="20"/>
        </w:rPr>
        <w:t xml:space="preserve"> </w:t>
      </w:r>
      <w:proofErr w:type="spellStart"/>
      <w:r w:rsidR="002C1079">
        <w:rPr>
          <w:rFonts w:ascii="Arial" w:hAnsi="Arial" w:cs="Arial"/>
          <w:sz w:val="20"/>
        </w:rPr>
        <w:t>lansmanlarının</w:t>
      </w:r>
      <w:proofErr w:type="spellEnd"/>
      <w:r w:rsidR="002C1079">
        <w:rPr>
          <w:rFonts w:ascii="Arial" w:hAnsi="Arial" w:cs="Arial"/>
          <w:sz w:val="20"/>
        </w:rPr>
        <w:t xml:space="preserve"> başarısı (SM6 ve QM6) </w:t>
      </w:r>
      <w:r w:rsidRPr="00D61CD0">
        <w:rPr>
          <w:rFonts w:ascii="Arial" w:hAnsi="Arial" w:cs="Arial"/>
          <w:sz w:val="20"/>
        </w:rPr>
        <w:t>sayesinde yüzde 6,9’a ulaştı (+ 1 puan).</w:t>
      </w:r>
    </w:p>
    <w:p w:rsidR="00224FC0" w:rsidRPr="00704511" w:rsidRDefault="00AA6BB4" w:rsidP="00D61CD0">
      <w:pPr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Kuzey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ve</w:t>
      </w:r>
      <w:proofErr w:type="spellEnd"/>
      <w:r>
        <w:rPr>
          <w:rFonts w:ascii="Arial" w:hAnsi="Arial" w:cs="Arial"/>
          <w:b/>
          <w:sz w:val="20"/>
        </w:rPr>
        <w:t xml:space="preserve"> Güney </w:t>
      </w:r>
      <w:proofErr w:type="spellStart"/>
      <w:r w:rsidR="00A325B8" w:rsidRPr="00704511">
        <w:rPr>
          <w:rFonts w:ascii="Arial" w:hAnsi="Arial" w:cs="Arial"/>
          <w:b/>
          <w:sz w:val="20"/>
        </w:rPr>
        <w:t>Amerika</w:t>
      </w:r>
      <w:proofErr w:type="spellEnd"/>
      <w:r w:rsidR="00A325B8" w:rsidRPr="00704511">
        <w:rPr>
          <w:rFonts w:ascii="Arial" w:hAnsi="Arial" w:cs="Arial"/>
          <w:sz w:val="20"/>
        </w:rPr>
        <w:t xml:space="preserve"> </w:t>
      </w:r>
      <w:proofErr w:type="spellStart"/>
      <w:r w:rsidR="00A325B8" w:rsidRPr="00704511">
        <w:rPr>
          <w:rFonts w:ascii="Arial" w:hAnsi="Arial" w:cs="Arial"/>
          <w:sz w:val="20"/>
        </w:rPr>
        <w:t>bölgesinde</w:t>
      </w:r>
      <w:proofErr w:type="spellEnd"/>
      <w:r w:rsidR="00A325B8" w:rsidRPr="00704511">
        <w:rPr>
          <w:rFonts w:ascii="Arial" w:hAnsi="Arial" w:cs="Arial"/>
          <w:sz w:val="20"/>
        </w:rPr>
        <w:t xml:space="preserve">, </w:t>
      </w:r>
      <w:proofErr w:type="spellStart"/>
      <w:r w:rsidR="00A325B8" w:rsidRPr="00704511">
        <w:rPr>
          <w:rFonts w:ascii="Arial" w:hAnsi="Arial" w:cs="Arial"/>
          <w:sz w:val="20"/>
        </w:rPr>
        <w:t>satışlar</w:t>
      </w:r>
      <w:proofErr w:type="spellEnd"/>
      <w:r w:rsidR="00A325B8" w:rsidRPr="00704511">
        <w:rPr>
          <w:rFonts w:ascii="Arial" w:hAnsi="Arial" w:cs="Arial"/>
          <w:sz w:val="20"/>
        </w:rPr>
        <w:t xml:space="preserve"> </w:t>
      </w:r>
      <w:proofErr w:type="spellStart"/>
      <w:r w:rsidR="00A325B8" w:rsidRPr="00704511">
        <w:rPr>
          <w:rFonts w:ascii="Arial" w:hAnsi="Arial" w:cs="Arial"/>
          <w:sz w:val="20"/>
        </w:rPr>
        <w:t>yüzde</w:t>
      </w:r>
      <w:proofErr w:type="spellEnd"/>
      <w:r w:rsidR="00A325B8" w:rsidRPr="00704511">
        <w:rPr>
          <w:rFonts w:ascii="Arial" w:hAnsi="Arial" w:cs="Arial"/>
          <w:sz w:val="20"/>
        </w:rPr>
        <w:t xml:space="preserve"> 8,3 </w:t>
      </w:r>
      <w:proofErr w:type="spellStart"/>
      <w:r w:rsidR="00A325B8" w:rsidRPr="00704511">
        <w:rPr>
          <w:rFonts w:ascii="Arial" w:hAnsi="Arial" w:cs="Arial"/>
          <w:sz w:val="20"/>
        </w:rPr>
        <w:t>oranında</w:t>
      </w:r>
      <w:proofErr w:type="spellEnd"/>
      <w:r w:rsidR="00A325B8" w:rsidRPr="00704511">
        <w:rPr>
          <w:rFonts w:ascii="Arial" w:hAnsi="Arial" w:cs="Arial"/>
          <w:sz w:val="20"/>
        </w:rPr>
        <w:t xml:space="preserve"> </w:t>
      </w:r>
      <w:proofErr w:type="spellStart"/>
      <w:r w:rsidR="00A325B8" w:rsidRPr="00704511">
        <w:rPr>
          <w:rFonts w:ascii="Arial" w:hAnsi="Arial" w:cs="Arial"/>
          <w:sz w:val="20"/>
        </w:rPr>
        <w:t>büyüyen</w:t>
      </w:r>
      <w:proofErr w:type="spellEnd"/>
      <w:r w:rsidR="00A325B8" w:rsidRPr="00704511">
        <w:rPr>
          <w:rFonts w:ascii="Arial" w:hAnsi="Arial" w:cs="Arial"/>
          <w:sz w:val="20"/>
        </w:rPr>
        <w:t xml:space="preserve"> </w:t>
      </w:r>
      <w:proofErr w:type="spellStart"/>
      <w:r w:rsidR="00A325B8" w:rsidRPr="00704511">
        <w:rPr>
          <w:rFonts w:ascii="Arial" w:hAnsi="Arial" w:cs="Arial"/>
          <w:sz w:val="20"/>
        </w:rPr>
        <w:t>bir</w:t>
      </w:r>
      <w:proofErr w:type="spellEnd"/>
      <w:r w:rsidR="00A325B8" w:rsidRPr="00704511">
        <w:rPr>
          <w:rFonts w:ascii="Arial" w:hAnsi="Arial" w:cs="Arial"/>
          <w:sz w:val="20"/>
        </w:rPr>
        <w:t xml:space="preserve"> </w:t>
      </w:r>
      <w:proofErr w:type="spellStart"/>
      <w:r w:rsidR="00A325B8" w:rsidRPr="00704511">
        <w:rPr>
          <w:rFonts w:ascii="Arial" w:hAnsi="Arial" w:cs="Arial"/>
          <w:sz w:val="20"/>
        </w:rPr>
        <w:t>pazarda</w:t>
      </w:r>
      <w:proofErr w:type="spellEnd"/>
      <w:r w:rsidR="00A325B8" w:rsidRPr="00704511">
        <w:rPr>
          <w:rFonts w:ascii="Arial" w:hAnsi="Arial" w:cs="Arial"/>
          <w:sz w:val="20"/>
        </w:rPr>
        <w:t xml:space="preserve"> </w:t>
      </w:r>
      <w:proofErr w:type="spellStart"/>
      <w:r w:rsidR="00A325B8" w:rsidRPr="00704511">
        <w:rPr>
          <w:rFonts w:ascii="Arial" w:hAnsi="Arial" w:cs="Arial"/>
          <w:sz w:val="20"/>
        </w:rPr>
        <w:t>y</w:t>
      </w:r>
      <w:r w:rsidR="007762AE">
        <w:rPr>
          <w:rFonts w:ascii="Arial" w:hAnsi="Arial" w:cs="Arial"/>
          <w:sz w:val="20"/>
        </w:rPr>
        <w:t>üzde</w:t>
      </w:r>
      <w:proofErr w:type="spellEnd"/>
      <w:r w:rsidR="007762AE">
        <w:rPr>
          <w:rFonts w:ascii="Arial" w:hAnsi="Arial" w:cs="Arial"/>
          <w:sz w:val="20"/>
        </w:rPr>
        <w:t xml:space="preserve"> 14,6 </w:t>
      </w:r>
      <w:proofErr w:type="spellStart"/>
      <w:r w:rsidR="007762AE">
        <w:rPr>
          <w:rFonts w:ascii="Arial" w:hAnsi="Arial" w:cs="Arial"/>
          <w:sz w:val="20"/>
        </w:rPr>
        <w:t>arttı</w:t>
      </w:r>
      <w:proofErr w:type="spellEnd"/>
      <w:r w:rsidR="007762AE">
        <w:rPr>
          <w:rFonts w:ascii="Arial" w:hAnsi="Arial" w:cs="Arial"/>
          <w:sz w:val="20"/>
        </w:rPr>
        <w:t xml:space="preserve"> </w:t>
      </w:r>
      <w:proofErr w:type="spellStart"/>
      <w:r w:rsidR="007762AE">
        <w:rPr>
          <w:rFonts w:ascii="Arial" w:hAnsi="Arial" w:cs="Arial"/>
          <w:sz w:val="20"/>
        </w:rPr>
        <w:t>ve</w:t>
      </w:r>
      <w:proofErr w:type="spellEnd"/>
      <w:r w:rsidR="007762AE">
        <w:rPr>
          <w:rFonts w:ascii="Arial" w:hAnsi="Arial" w:cs="Arial"/>
          <w:sz w:val="20"/>
        </w:rPr>
        <w:t xml:space="preserve"> </w:t>
      </w:r>
      <w:proofErr w:type="spellStart"/>
      <w:r w:rsidR="007762AE">
        <w:rPr>
          <w:rFonts w:ascii="Arial" w:hAnsi="Arial" w:cs="Arial"/>
          <w:sz w:val="20"/>
        </w:rPr>
        <w:t>pazar</w:t>
      </w:r>
      <w:proofErr w:type="spellEnd"/>
      <w:r w:rsidR="007762AE">
        <w:rPr>
          <w:rFonts w:ascii="Arial" w:hAnsi="Arial" w:cs="Arial"/>
          <w:sz w:val="20"/>
        </w:rPr>
        <w:t xml:space="preserve"> </w:t>
      </w:r>
      <w:proofErr w:type="spellStart"/>
      <w:r w:rsidR="007762AE">
        <w:rPr>
          <w:rFonts w:ascii="Arial" w:hAnsi="Arial" w:cs="Arial"/>
          <w:sz w:val="20"/>
        </w:rPr>
        <w:t>payı</w:t>
      </w:r>
      <w:proofErr w:type="spellEnd"/>
      <w:r w:rsidR="00A325B8" w:rsidRPr="00704511">
        <w:rPr>
          <w:rFonts w:ascii="Arial" w:hAnsi="Arial" w:cs="Arial"/>
          <w:sz w:val="20"/>
        </w:rPr>
        <w:t xml:space="preserve"> 0,4 </w:t>
      </w:r>
      <w:proofErr w:type="spellStart"/>
      <w:r w:rsidR="00A325B8" w:rsidRPr="00704511">
        <w:rPr>
          <w:rFonts w:ascii="Arial" w:hAnsi="Arial" w:cs="Arial"/>
          <w:sz w:val="20"/>
        </w:rPr>
        <w:t>puan</w:t>
      </w:r>
      <w:proofErr w:type="spellEnd"/>
      <w:r w:rsidR="00A325B8" w:rsidRPr="00704511">
        <w:rPr>
          <w:rFonts w:ascii="Arial" w:hAnsi="Arial" w:cs="Arial"/>
          <w:sz w:val="20"/>
        </w:rPr>
        <w:t xml:space="preserve"> </w:t>
      </w:r>
      <w:proofErr w:type="spellStart"/>
      <w:r w:rsidR="00A325B8" w:rsidRPr="00704511">
        <w:rPr>
          <w:rFonts w:ascii="Arial" w:hAnsi="Arial" w:cs="Arial"/>
          <w:sz w:val="20"/>
        </w:rPr>
        <w:t>artışla</w:t>
      </w:r>
      <w:proofErr w:type="spellEnd"/>
      <w:r w:rsidR="00A325B8" w:rsidRPr="00704511">
        <w:rPr>
          <w:rFonts w:ascii="Arial" w:hAnsi="Arial" w:cs="Arial"/>
          <w:sz w:val="20"/>
        </w:rPr>
        <w:t xml:space="preserve"> </w:t>
      </w:r>
      <w:proofErr w:type="spellStart"/>
      <w:r w:rsidR="00A325B8" w:rsidRPr="00704511">
        <w:rPr>
          <w:rFonts w:ascii="Arial" w:hAnsi="Arial" w:cs="Arial"/>
          <w:sz w:val="20"/>
        </w:rPr>
        <w:t>yüzde</w:t>
      </w:r>
      <w:proofErr w:type="spellEnd"/>
      <w:r w:rsidR="00A325B8" w:rsidRPr="00704511">
        <w:rPr>
          <w:rFonts w:ascii="Arial" w:hAnsi="Arial" w:cs="Arial"/>
          <w:sz w:val="20"/>
        </w:rPr>
        <w:t xml:space="preserve"> 6,5 </w:t>
      </w:r>
      <w:proofErr w:type="spellStart"/>
      <w:r w:rsidR="00A325B8" w:rsidRPr="00704511">
        <w:rPr>
          <w:rFonts w:ascii="Arial" w:hAnsi="Arial" w:cs="Arial"/>
          <w:sz w:val="20"/>
        </w:rPr>
        <w:t>oldu</w:t>
      </w:r>
      <w:proofErr w:type="spellEnd"/>
      <w:r w:rsidR="00A325B8" w:rsidRPr="00704511">
        <w:rPr>
          <w:rFonts w:ascii="Arial" w:hAnsi="Arial" w:cs="Arial"/>
          <w:sz w:val="20"/>
        </w:rPr>
        <w:t xml:space="preserve">. </w:t>
      </w:r>
      <w:proofErr w:type="spellStart"/>
      <w:r w:rsidR="00A325B8" w:rsidRPr="00704511">
        <w:rPr>
          <w:rFonts w:ascii="Arial" w:hAnsi="Arial" w:cs="Arial"/>
          <w:sz w:val="20"/>
        </w:rPr>
        <w:t>Sandero</w:t>
      </w:r>
      <w:proofErr w:type="spellEnd"/>
      <w:r w:rsidR="00A325B8" w:rsidRPr="00704511">
        <w:rPr>
          <w:rFonts w:ascii="Arial" w:hAnsi="Arial" w:cs="Arial"/>
          <w:sz w:val="20"/>
        </w:rPr>
        <w:t xml:space="preserve">, Logan </w:t>
      </w:r>
      <w:proofErr w:type="spellStart"/>
      <w:r w:rsidR="00A325B8" w:rsidRPr="00704511">
        <w:rPr>
          <w:rFonts w:ascii="Arial" w:hAnsi="Arial" w:cs="Arial"/>
          <w:sz w:val="20"/>
        </w:rPr>
        <w:t>ve</w:t>
      </w:r>
      <w:proofErr w:type="spellEnd"/>
      <w:r w:rsidR="00A325B8" w:rsidRPr="00704511">
        <w:rPr>
          <w:rFonts w:ascii="Arial" w:hAnsi="Arial" w:cs="Arial"/>
          <w:sz w:val="20"/>
        </w:rPr>
        <w:t xml:space="preserve"> Duster </w:t>
      </w:r>
      <w:proofErr w:type="spellStart"/>
      <w:r w:rsidR="00A325B8" w:rsidRPr="00704511">
        <w:rPr>
          <w:rFonts w:ascii="Arial" w:hAnsi="Arial" w:cs="Arial"/>
          <w:sz w:val="20"/>
        </w:rPr>
        <w:t>Oroch</w:t>
      </w:r>
      <w:proofErr w:type="spellEnd"/>
      <w:r w:rsidR="00A325B8" w:rsidRPr="00704511">
        <w:rPr>
          <w:rFonts w:ascii="Arial" w:hAnsi="Arial" w:cs="Arial"/>
          <w:sz w:val="20"/>
        </w:rPr>
        <w:t xml:space="preserve"> </w:t>
      </w:r>
      <w:proofErr w:type="spellStart"/>
      <w:r w:rsidR="00A325B8" w:rsidRPr="00704511">
        <w:rPr>
          <w:rFonts w:ascii="Arial" w:hAnsi="Arial" w:cs="Arial"/>
          <w:sz w:val="20"/>
        </w:rPr>
        <w:t>başarılarını</w:t>
      </w:r>
      <w:proofErr w:type="spellEnd"/>
      <w:r w:rsidR="00A325B8" w:rsidRPr="00704511">
        <w:rPr>
          <w:rFonts w:ascii="Arial" w:hAnsi="Arial" w:cs="Arial"/>
          <w:sz w:val="20"/>
        </w:rPr>
        <w:t xml:space="preserve"> </w:t>
      </w:r>
      <w:proofErr w:type="spellStart"/>
      <w:r w:rsidR="00A325B8" w:rsidRPr="00704511">
        <w:rPr>
          <w:rFonts w:ascii="Arial" w:hAnsi="Arial" w:cs="Arial"/>
          <w:sz w:val="20"/>
        </w:rPr>
        <w:t>pekiştirdiler</w:t>
      </w:r>
      <w:proofErr w:type="spellEnd"/>
      <w:r w:rsidR="00A325B8" w:rsidRPr="00704511">
        <w:rPr>
          <w:rFonts w:ascii="Arial" w:hAnsi="Arial" w:cs="Arial"/>
          <w:sz w:val="20"/>
        </w:rPr>
        <w:t xml:space="preserve">. </w:t>
      </w:r>
    </w:p>
    <w:p w:rsidR="00F818D9" w:rsidRPr="00D61CD0" w:rsidRDefault="00F818D9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sz w:val="20"/>
        </w:rPr>
        <w:t>Renault Grubu</w:t>
      </w:r>
      <w:r w:rsidR="00A732B4" w:rsidRPr="00D61CD0">
        <w:rPr>
          <w:rFonts w:ascii="Arial" w:hAnsi="Arial" w:cs="Arial"/>
          <w:sz w:val="20"/>
        </w:rPr>
        <w:t>,</w:t>
      </w:r>
      <w:r w:rsidRPr="00D61CD0">
        <w:rPr>
          <w:rFonts w:ascii="Arial" w:hAnsi="Arial" w:cs="Arial"/>
          <w:sz w:val="20"/>
        </w:rPr>
        <w:t xml:space="preserve"> </w:t>
      </w:r>
      <w:r w:rsidRPr="00D61CD0">
        <w:rPr>
          <w:rFonts w:ascii="Arial" w:hAnsi="Arial" w:cs="Arial"/>
          <w:b/>
          <w:sz w:val="20"/>
        </w:rPr>
        <w:t>Arjantin</w:t>
      </w:r>
      <w:r w:rsidRPr="00D61CD0">
        <w:rPr>
          <w:rFonts w:ascii="Arial" w:hAnsi="Arial" w:cs="Arial"/>
          <w:sz w:val="20"/>
        </w:rPr>
        <w:t xml:space="preserve"> pazarının canlanma</w:t>
      </w:r>
      <w:r w:rsidR="00FE534D" w:rsidRPr="00D61CD0">
        <w:rPr>
          <w:rFonts w:ascii="Arial" w:hAnsi="Arial" w:cs="Arial"/>
          <w:sz w:val="20"/>
        </w:rPr>
        <w:t>sından yararlanmaya devam etti ve yüzde 34 oranında büyüyen bir pa</w:t>
      </w:r>
      <w:r w:rsidR="00DA39BE">
        <w:rPr>
          <w:rFonts w:ascii="Arial" w:hAnsi="Arial" w:cs="Arial"/>
          <w:sz w:val="20"/>
        </w:rPr>
        <w:t>zarda satışlarını yüzde 45,6 ar</w:t>
      </w:r>
      <w:r w:rsidR="00FE534D" w:rsidRPr="00D61CD0">
        <w:rPr>
          <w:rFonts w:ascii="Arial" w:hAnsi="Arial" w:cs="Arial"/>
          <w:sz w:val="20"/>
        </w:rPr>
        <w:t xml:space="preserve">tırdı. Pazar payı, </w:t>
      </w:r>
      <w:r w:rsidR="004C019E" w:rsidRPr="00D61CD0">
        <w:rPr>
          <w:rFonts w:ascii="Arial" w:hAnsi="Arial" w:cs="Arial"/>
          <w:sz w:val="20"/>
        </w:rPr>
        <w:t>1,1 puan artarak yüzde 13,3’e ulaştı. Renault, 2016 sonunda</w:t>
      </w:r>
      <w:r w:rsidR="007762AE">
        <w:rPr>
          <w:rFonts w:ascii="Arial" w:hAnsi="Arial" w:cs="Arial"/>
          <w:sz w:val="20"/>
        </w:rPr>
        <w:t xml:space="preserve">n beri </w:t>
      </w:r>
      <w:proofErr w:type="spellStart"/>
      <w:r w:rsidR="007762AE">
        <w:rPr>
          <w:rFonts w:ascii="Arial" w:hAnsi="Arial" w:cs="Arial"/>
          <w:sz w:val="20"/>
        </w:rPr>
        <w:t>Sandero</w:t>
      </w:r>
      <w:proofErr w:type="spellEnd"/>
      <w:r w:rsidR="007762AE">
        <w:rPr>
          <w:rFonts w:ascii="Arial" w:hAnsi="Arial" w:cs="Arial"/>
          <w:sz w:val="20"/>
        </w:rPr>
        <w:t xml:space="preserve"> ve </w:t>
      </w:r>
      <w:proofErr w:type="spellStart"/>
      <w:r w:rsidR="007762AE">
        <w:rPr>
          <w:rFonts w:ascii="Arial" w:hAnsi="Arial" w:cs="Arial"/>
          <w:sz w:val="20"/>
        </w:rPr>
        <w:t>Logan’ın</w:t>
      </w:r>
      <w:proofErr w:type="spellEnd"/>
      <w:r w:rsidR="007762AE">
        <w:rPr>
          <w:rFonts w:ascii="Arial" w:hAnsi="Arial" w:cs="Arial"/>
          <w:sz w:val="20"/>
        </w:rPr>
        <w:t xml:space="preserve"> bölgedeki</w:t>
      </w:r>
      <w:r w:rsidR="004C019E" w:rsidRPr="00D61CD0">
        <w:rPr>
          <w:rFonts w:ascii="Arial" w:hAnsi="Arial" w:cs="Arial"/>
          <w:sz w:val="20"/>
        </w:rPr>
        <w:t xml:space="preserve"> üretiminin faydasını görüyor. </w:t>
      </w:r>
      <w:r w:rsidR="004C019E" w:rsidRPr="00D61CD0">
        <w:rPr>
          <w:rFonts w:ascii="Arial" w:hAnsi="Arial" w:cs="Arial"/>
          <w:b/>
          <w:sz w:val="20"/>
        </w:rPr>
        <w:t>Brezilya</w:t>
      </w:r>
      <w:r w:rsidR="004C019E" w:rsidRPr="00D61CD0">
        <w:rPr>
          <w:rFonts w:ascii="Arial" w:hAnsi="Arial" w:cs="Arial"/>
          <w:sz w:val="20"/>
        </w:rPr>
        <w:t>’daki pazar, yılın ilk yarısında yüzde 4,2 büyürken, Grup bu büyümeden yararl</w:t>
      </w:r>
      <w:r w:rsidR="00620E21">
        <w:rPr>
          <w:rFonts w:ascii="Arial" w:hAnsi="Arial" w:cs="Arial"/>
          <w:sz w:val="20"/>
        </w:rPr>
        <w:t>anarak satışlarını yüzde 5,1 ar</w:t>
      </w:r>
      <w:r w:rsidR="004C019E" w:rsidRPr="00D61CD0">
        <w:rPr>
          <w:rFonts w:ascii="Arial" w:hAnsi="Arial" w:cs="Arial"/>
          <w:sz w:val="20"/>
        </w:rPr>
        <w:t xml:space="preserve">tırdı ve yüzde 7,4’lük bir </w:t>
      </w:r>
      <w:r w:rsidR="00D01CC2" w:rsidRPr="00D61CD0">
        <w:rPr>
          <w:rFonts w:ascii="Arial" w:hAnsi="Arial" w:cs="Arial"/>
          <w:sz w:val="20"/>
        </w:rPr>
        <w:t>p</w:t>
      </w:r>
      <w:r w:rsidR="007762AE">
        <w:rPr>
          <w:rFonts w:ascii="Arial" w:hAnsi="Arial" w:cs="Arial"/>
          <w:sz w:val="20"/>
        </w:rPr>
        <w:t>azar payı elde etti</w:t>
      </w:r>
      <w:r w:rsidR="004C019E" w:rsidRPr="00D61CD0">
        <w:rPr>
          <w:rFonts w:ascii="Arial" w:hAnsi="Arial" w:cs="Arial"/>
          <w:sz w:val="20"/>
        </w:rPr>
        <w:t xml:space="preserve">. </w:t>
      </w:r>
    </w:p>
    <w:p w:rsidR="00A75D8B" w:rsidRPr="00D61CD0" w:rsidRDefault="00A75D8B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A75D8B" w:rsidRPr="00D61CD0" w:rsidRDefault="00A75D8B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b/>
          <w:sz w:val="20"/>
        </w:rPr>
      </w:pPr>
      <w:r w:rsidRPr="00D61CD0">
        <w:rPr>
          <w:rFonts w:ascii="Arial" w:hAnsi="Arial" w:cs="Arial"/>
          <w:b/>
          <w:sz w:val="20"/>
        </w:rPr>
        <w:t>RENAULT GR</w:t>
      </w:r>
      <w:r w:rsidR="007762AE">
        <w:rPr>
          <w:rFonts w:ascii="Arial" w:hAnsi="Arial" w:cs="Arial"/>
          <w:b/>
          <w:sz w:val="20"/>
        </w:rPr>
        <w:t>UBU’NUN 2017 PAZAR ÖNGÖRÜSÜ</w:t>
      </w:r>
    </w:p>
    <w:p w:rsidR="00A75D8B" w:rsidRPr="00D61CD0" w:rsidRDefault="00A75D8B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sz w:val="20"/>
        </w:rPr>
        <w:t>2017’de, küresel pazarın yüzde 1,5 ila yüzde 2</w:t>
      </w:r>
      <w:r w:rsidR="00D107D5" w:rsidRPr="00D61CD0">
        <w:rPr>
          <w:rFonts w:ascii="Arial" w:hAnsi="Arial" w:cs="Arial"/>
          <w:sz w:val="20"/>
        </w:rPr>
        <w:t xml:space="preserve">,5 oranında büyüyeceği öngörülürken, Avrupa pazarının </w:t>
      </w:r>
      <w:r w:rsidRPr="00D61CD0">
        <w:rPr>
          <w:rFonts w:ascii="Arial" w:hAnsi="Arial" w:cs="Arial"/>
          <w:sz w:val="20"/>
        </w:rPr>
        <w:t xml:space="preserve">yüzde 2’lik bir büyüme göstermesi bekleniyor. Fransa pazarının ise </w:t>
      </w:r>
      <w:r w:rsidR="00D107D5" w:rsidRPr="00D61CD0">
        <w:rPr>
          <w:rFonts w:ascii="Arial" w:hAnsi="Arial" w:cs="Arial"/>
          <w:sz w:val="20"/>
        </w:rPr>
        <w:t xml:space="preserve">Avrupa pazarı gibi </w:t>
      </w:r>
      <w:r w:rsidRPr="00D61CD0">
        <w:rPr>
          <w:rFonts w:ascii="Arial" w:hAnsi="Arial" w:cs="Arial"/>
          <w:sz w:val="20"/>
        </w:rPr>
        <w:t>yüzde 2 oranında büyümesi bekleniyor.</w:t>
      </w:r>
    </w:p>
    <w:p w:rsidR="00A75D8B" w:rsidRPr="00D61CD0" w:rsidRDefault="00A75D8B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A75D8B" w:rsidRPr="00D61CD0" w:rsidRDefault="00A75D8B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sz w:val="20"/>
        </w:rPr>
        <w:t>Avrupa dışında, Rusya pazarının yüzde 5’in üstüne bir</w:t>
      </w:r>
      <w:r w:rsidR="007762AE">
        <w:rPr>
          <w:rFonts w:ascii="Arial" w:hAnsi="Arial" w:cs="Arial"/>
          <w:sz w:val="20"/>
        </w:rPr>
        <w:t xml:space="preserve"> büyüme gösterebileceği tahmin ediliyor.</w:t>
      </w:r>
      <w:r w:rsidRPr="00D61CD0">
        <w:rPr>
          <w:rFonts w:ascii="Arial" w:hAnsi="Arial" w:cs="Arial"/>
          <w:sz w:val="20"/>
        </w:rPr>
        <w:t xml:space="preserve"> Brezilya pazarındaki büyüme beklentisi yüzde 5 iken, bu büyüme ivmesinin Çin’de yüzde 5’in üstünde, Hindistan’da ise yüzde 8’in üstünde devam etmesi bekleniyor.</w:t>
      </w:r>
    </w:p>
    <w:p w:rsidR="0075374E" w:rsidRPr="00D61CD0" w:rsidRDefault="0075374E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F50973" w:rsidRPr="00D61CD0" w:rsidRDefault="00F50973" w:rsidP="00C3181C">
      <w:pPr>
        <w:pStyle w:val="ListeParagraf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 w:rsidRPr="00D61CD0">
        <w:rPr>
          <w:rFonts w:ascii="Arial" w:hAnsi="Arial" w:cs="Arial"/>
          <w:sz w:val="20"/>
        </w:rPr>
        <w:t xml:space="preserve">Grup, yılın ikinci yarısında, Avrupa’da yenilenen ürün gamının, uluslararası alanda ise Çin’de </w:t>
      </w:r>
      <w:proofErr w:type="spellStart"/>
      <w:r w:rsidRPr="00D61CD0">
        <w:rPr>
          <w:rFonts w:ascii="Arial" w:hAnsi="Arial" w:cs="Arial"/>
          <w:sz w:val="20"/>
        </w:rPr>
        <w:t>Koleos</w:t>
      </w:r>
      <w:proofErr w:type="spellEnd"/>
      <w:r w:rsidRPr="00D61CD0">
        <w:rPr>
          <w:rFonts w:ascii="Arial" w:hAnsi="Arial" w:cs="Arial"/>
          <w:sz w:val="20"/>
        </w:rPr>
        <w:t xml:space="preserve">, Rusya’da </w:t>
      </w:r>
      <w:proofErr w:type="spellStart"/>
      <w:r w:rsidRPr="00D61CD0">
        <w:rPr>
          <w:rFonts w:ascii="Arial" w:hAnsi="Arial" w:cs="Arial"/>
          <w:sz w:val="20"/>
        </w:rPr>
        <w:t>Kaptur</w:t>
      </w:r>
      <w:proofErr w:type="spellEnd"/>
      <w:r w:rsidRPr="00D61CD0">
        <w:rPr>
          <w:rFonts w:ascii="Arial" w:hAnsi="Arial" w:cs="Arial"/>
          <w:sz w:val="20"/>
        </w:rPr>
        <w:t xml:space="preserve">, </w:t>
      </w:r>
      <w:proofErr w:type="spellStart"/>
      <w:r w:rsidRPr="00D61CD0">
        <w:rPr>
          <w:rFonts w:ascii="Arial" w:hAnsi="Arial" w:cs="Arial"/>
          <w:sz w:val="20"/>
        </w:rPr>
        <w:t>Xray</w:t>
      </w:r>
      <w:proofErr w:type="spellEnd"/>
      <w:r w:rsidRPr="00D61CD0">
        <w:rPr>
          <w:rFonts w:ascii="Arial" w:hAnsi="Arial" w:cs="Arial"/>
          <w:sz w:val="20"/>
        </w:rPr>
        <w:t xml:space="preserve"> ve </w:t>
      </w:r>
      <w:proofErr w:type="spellStart"/>
      <w:r w:rsidRPr="00D61CD0">
        <w:rPr>
          <w:rFonts w:ascii="Arial" w:hAnsi="Arial" w:cs="Arial"/>
          <w:sz w:val="20"/>
        </w:rPr>
        <w:t>Vesta</w:t>
      </w:r>
      <w:proofErr w:type="spellEnd"/>
      <w:r w:rsidRPr="00D61CD0">
        <w:rPr>
          <w:rFonts w:ascii="Arial" w:hAnsi="Arial" w:cs="Arial"/>
          <w:sz w:val="20"/>
        </w:rPr>
        <w:t>, Güney Kore’de QM6 ve SM6, Latin Amerika’da yeni SUV serisinin yarattığı fırsatlardan yararlanmaya devam etmesi öngörülüyor.</w:t>
      </w:r>
    </w:p>
    <w:p w:rsidR="00A56309" w:rsidRPr="00D61CD0" w:rsidRDefault="00A56309" w:rsidP="00AC3350">
      <w:pPr>
        <w:pStyle w:val="ListeParagraf"/>
        <w:shd w:val="clear" w:color="auto" w:fill="FFFFFF" w:themeFill="background1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75374E" w:rsidRDefault="007762AE" w:rsidP="00AC3350">
      <w:pPr>
        <w:pStyle w:val="ListeParagraf"/>
        <w:shd w:val="clear" w:color="auto" w:fill="FFFFFF" w:themeFill="background1"/>
        <w:spacing w:line="360" w:lineRule="auto"/>
        <w:ind w:left="1134" w:right="52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 sebeple</w:t>
      </w:r>
      <w:r w:rsidR="0075374E" w:rsidRPr="00AC3350">
        <w:rPr>
          <w:rFonts w:ascii="Arial" w:hAnsi="Arial" w:cs="Arial"/>
          <w:sz w:val="20"/>
        </w:rPr>
        <w:t xml:space="preserve"> Renault Grubu</w:t>
      </w:r>
      <w:r>
        <w:rPr>
          <w:rFonts w:ascii="Arial" w:hAnsi="Arial" w:cs="Arial"/>
          <w:sz w:val="20"/>
        </w:rPr>
        <w:t>, Avrupa ve dışındaki satış</w:t>
      </w:r>
      <w:r w:rsidR="0075374E" w:rsidRPr="00AC3350">
        <w:rPr>
          <w:rFonts w:ascii="Arial" w:hAnsi="Arial" w:cs="Arial"/>
          <w:sz w:val="20"/>
        </w:rPr>
        <w:t xml:space="preserve"> ve pazar pay</w:t>
      </w:r>
      <w:r>
        <w:rPr>
          <w:rFonts w:ascii="Arial" w:hAnsi="Arial" w:cs="Arial"/>
          <w:sz w:val="20"/>
        </w:rPr>
        <w:t>ı olarak b</w:t>
      </w:r>
      <w:r w:rsidR="0075374E" w:rsidRPr="00AC3350">
        <w:rPr>
          <w:rFonts w:ascii="Arial" w:hAnsi="Arial" w:cs="Arial"/>
          <w:sz w:val="20"/>
        </w:rPr>
        <w:t>üyümeyi öngören 2017 satış hedeflerini teyit ediyor.</w:t>
      </w:r>
    </w:p>
    <w:p w:rsidR="0033082D" w:rsidRDefault="0033082D" w:rsidP="00AC3350">
      <w:pPr>
        <w:pStyle w:val="ListeParagraf"/>
        <w:shd w:val="clear" w:color="auto" w:fill="FFFFFF" w:themeFill="background1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33082D" w:rsidRDefault="0033082D" w:rsidP="00AC3350">
      <w:pPr>
        <w:pStyle w:val="ListeParagraf"/>
        <w:shd w:val="clear" w:color="auto" w:fill="FFFFFF" w:themeFill="background1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33082D" w:rsidRDefault="0033082D" w:rsidP="00AC3350">
      <w:pPr>
        <w:pStyle w:val="ListeParagraf"/>
        <w:shd w:val="clear" w:color="auto" w:fill="FFFFFF" w:themeFill="background1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33082D" w:rsidRDefault="0033082D" w:rsidP="00AC3350">
      <w:pPr>
        <w:pStyle w:val="ListeParagraf"/>
        <w:shd w:val="clear" w:color="auto" w:fill="FFFFFF" w:themeFill="background1"/>
        <w:spacing w:line="360" w:lineRule="auto"/>
        <w:ind w:left="1134" w:right="522"/>
        <w:jc w:val="both"/>
        <w:rPr>
          <w:rFonts w:ascii="Arial" w:hAnsi="Arial" w:cs="Arial"/>
          <w:sz w:val="20"/>
        </w:rPr>
      </w:pPr>
    </w:p>
    <w:p w:rsidR="0033082D" w:rsidRDefault="0033082D" w:rsidP="00302432">
      <w:pPr>
        <w:shd w:val="clear" w:color="auto" w:fill="FFFFFF" w:themeFill="background1"/>
        <w:spacing w:line="360" w:lineRule="auto"/>
        <w:ind w:right="522"/>
        <w:jc w:val="both"/>
        <w:rPr>
          <w:rFonts w:ascii="Arial" w:hAnsi="Arial" w:cs="Arial"/>
          <w:sz w:val="20"/>
        </w:rPr>
      </w:pPr>
    </w:p>
    <w:p w:rsidR="007762AE" w:rsidRDefault="007762AE" w:rsidP="00302432">
      <w:pPr>
        <w:shd w:val="clear" w:color="auto" w:fill="FFFFFF" w:themeFill="background1"/>
        <w:spacing w:line="360" w:lineRule="auto"/>
        <w:ind w:right="522"/>
        <w:jc w:val="both"/>
        <w:rPr>
          <w:rFonts w:ascii="Arial" w:hAnsi="Arial" w:cs="Arial"/>
          <w:sz w:val="20"/>
        </w:rPr>
      </w:pPr>
    </w:p>
    <w:p w:rsidR="007762AE" w:rsidRDefault="007762AE" w:rsidP="00302432">
      <w:pPr>
        <w:shd w:val="clear" w:color="auto" w:fill="FFFFFF" w:themeFill="background1"/>
        <w:spacing w:line="360" w:lineRule="auto"/>
        <w:ind w:right="522"/>
        <w:jc w:val="both"/>
        <w:rPr>
          <w:rFonts w:ascii="Arial" w:hAnsi="Arial" w:cs="Arial"/>
          <w:sz w:val="20"/>
        </w:rPr>
      </w:pPr>
    </w:p>
    <w:p w:rsidR="007762AE" w:rsidRDefault="007762AE" w:rsidP="00302432">
      <w:pPr>
        <w:shd w:val="clear" w:color="auto" w:fill="FFFFFF" w:themeFill="background1"/>
        <w:spacing w:line="360" w:lineRule="auto"/>
        <w:ind w:right="522"/>
        <w:jc w:val="both"/>
        <w:rPr>
          <w:rFonts w:ascii="Arial" w:hAnsi="Arial" w:cs="Arial"/>
          <w:sz w:val="20"/>
        </w:rPr>
      </w:pPr>
    </w:p>
    <w:p w:rsidR="007762AE" w:rsidRPr="00302432" w:rsidRDefault="007762AE" w:rsidP="00302432">
      <w:pPr>
        <w:shd w:val="clear" w:color="auto" w:fill="FFFFFF" w:themeFill="background1"/>
        <w:spacing w:line="360" w:lineRule="auto"/>
        <w:ind w:right="522"/>
        <w:jc w:val="both"/>
        <w:rPr>
          <w:rFonts w:ascii="Arial" w:hAnsi="Arial" w:cs="Arial"/>
          <w:sz w:val="20"/>
        </w:rPr>
      </w:pPr>
    </w:p>
    <w:p w:rsidR="0033082D" w:rsidRPr="00682911" w:rsidRDefault="007762AE" w:rsidP="0033082D">
      <w:pPr>
        <w:spacing w:before="120" w:after="120"/>
        <w:ind w:left="1418"/>
        <w:rPr>
          <w:rFonts w:ascii="Arial" w:hAnsi="Arial" w:cs="Arial"/>
          <w:b/>
          <w:sz w:val="20"/>
          <w:szCs w:val="16"/>
          <w:lang w:val="tr-TR"/>
        </w:rPr>
      </w:pPr>
      <w:r>
        <w:rPr>
          <w:rFonts w:ascii="Arial" w:hAnsi="Arial" w:cs="Arial"/>
          <w:b/>
          <w:sz w:val="20"/>
          <w:szCs w:val="16"/>
          <w:lang w:val="tr-TR"/>
        </w:rPr>
        <w:lastRenderedPageBreak/>
        <w:t>Bölgelere göre G</w:t>
      </w:r>
      <w:r w:rsidR="0033082D" w:rsidRPr="00682911">
        <w:rPr>
          <w:rFonts w:ascii="Arial" w:hAnsi="Arial" w:cs="Arial"/>
          <w:b/>
          <w:sz w:val="20"/>
          <w:szCs w:val="16"/>
          <w:lang w:val="tr-TR"/>
        </w:rPr>
        <w:t xml:space="preserve">rup satışları (Binek </w:t>
      </w:r>
      <w:r w:rsidR="0033082D">
        <w:rPr>
          <w:rFonts w:ascii="Arial" w:hAnsi="Arial" w:cs="Arial"/>
          <w:b/>
          <w:sz w:val="20"/>
          <w:szCs w:val="16"/>
          <w:lang w:val="tr-TR"/>
        </w:rPr>
        <w:t>Otomobili</w:t>
      </w:r>
      <w:r w:rsidR="0033082D" w:rsidRPr="00682911">
        <w:rPr>
          <w:rFonts w:ascii="Arial" w:hAnsi="Arial" w:cs="Arial"/>
          <w:b/>
          <w:sz w:val="20"/>
          <w:szCs w:val="16"/>
          <w:lang w:val="tr-TR"/>
        </w:rPr>
        <w:t xml:space="preserve"> + Hafif Ticari Araç)</w:t>
      </w: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0"/>
        <w:gridCol w:w="1418"/>
        <w:gridCol w:w="1276"/>
        <w:gridCol w:w="1275"/>
      </w:tblGrid>
      <w:tr w:rsidR="0033082D" w:rsidRPr="00682911" w:rsidTr="007762AE">
        <w:trPr>
          <w:trHeight w:val="252"/>
        </w:trPr>
        <w:tc>
          <w:tcPr>
            <w:tcW w:w="3680" w:type="dxa"/>
            <w:vMerge w:val="restart"/>
          </w:tcPr>
          <w:p w:rsidR="0033082D" w:rsidRPr="00682911" w:rsidRDefault="0033082D" w:rsidP="00441BAE">
            <w:pPr>
              <w:rPr>
                <w:rFonts w:ascii="Arial" w:hAnsi="Arial" w:cs="Arial"/>
                <w:sz w:val="20"/>
                <w:lang w:val="tr-TR"/>
              </w:rPr>
            </w:pPr>
          </w:p>
        </w:tc>
        <w:tc>
          <w:tcPr>
            <w:tcW w:w="3969" w:type="dxa"/>
            <w:gridSpan w:val="3"/>
          </w:tcPr>
          <w:p w:rsidR="0033082D" w:rsidRPr="00682911" w:rsidRDefault="002C0754" w:rsidP="00F92CF6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Ocak- Haziran – Satış a</w:t>
            </w:r>
            <w:bookmarkStart w:id="0" w:name="_GoBack"/>
            <w:bookmarkEnd w:id="0"/>
            <w:r w:rsidR="00F92CF6">
              <w:rPr>
                <w:rFonts w:ascii="Arial" w:hAnsi="Arial" w:cs="Arial"/>
                <w:b/>
                <w:sz w:val="20"/>
                <w:szCs w:val="16"/>
                <w:lang w:val="tr-TR"/>
              </w:rPr>
              <w:t>dedi</w:t>
            </w:r>
          </w:p>
        </w:tc>
      </w:tr>
      <w:tr w:rsidR="0033082D" w:rsidRPr="00682911" w:rsidTr="007762AE">
        <w:trPr>
          <w:trHeight w:val="252"/>
        </w:trPr>
        <w:tc>
          <w:tcPr>
            <w:tcW w:w="3680" w:type="dxa"/>
            <w:vMerge/>
          </w:tcPr>
          <w:p w:rsidR="0033082D" w:rsidRPr="00682911" w:rsidRDefault="0033082D" w:rsidP="00441BAE">
            <w:pPr>
              <w:rPr>
                <w:rFonts w:ascii="Arial" w:hAnsi="Arial" w:cs="Arial"/>
                <w:sz w:val="20"/>
                <w:lang w:val="tr-TR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lang w:val="tr-TR"/>
              </w:rPr>
              <w:t>2017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lang w:val="tr-TR"/>
              </w:rPr>
              <w:t>2016</w:t>
            </w:r>
          </w:p>
        </w:tc>
        <w:tc>
          <w:tcPr>
            <w:tcW w:w="1275" w:type="dxa"/>
            <w:tcBorders>
              <w:left w:val="nil"/>
            </w:tcBorders>
          </w:tcPr>
          <w:p w:rsidR="0033082D" w:rsidRPr="00682911" w:rsidRDefault="007762AE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lang w:val="tr-TR"/>
              </w:rPr>
              <w:t>F</w:t>
            </w:r>
            <w:r w:rsidR="0033082D" w:rsidRPr="00682911">
              <w:rPr>
                <w:rFonts w:ascii="Arial" w:hAnsi="Arial" w:cs="Arial"/>
                <w:b/>
                <w:sz w:val="20"/>
                <w:lang w:val="tr-TR"/>
              </w:rPr>
              <w:t>ark</w:t>
            </w:r>
            <w:r>
              <w:rPr>
                <w:rFonts w:ascii="Arial" w:hAnsi="Arial" w:cs="Arial"/>
                <w:b/>
                <w:sz w:val="20"/>
                <w:lang w:val="tr-TR"/>
              </w:rPr>
              <w:t xml:space="preserve"> %</w:t>
            </w:r>
          </w:p>
        </w:tc>
      </w:tr>
      <w:tr w:rsidR="0033082D" w:rsidRPr="00682911" w:rsidTr="007762AE">
        <w:trPr>
          <w:trHeight w:val="252"/>
        </w:trPr>
        <w:tc>
          <w:tcPr>
            <w:tcW w:w="3680" w:type="dxa"/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682911">
              <w:rPr>
                <w:rFonts w:ascii="Arial" w:hAnsi="Arial" w:cs="Arial"/>
                <w:sz w:val="20"/>
                <w:lang w:val="tr-TR"/>
              </w:rPr>
              <w:t>Fransa</w:t>
            </w:r>
          </w:p>
        </w:tc>
        <w:tc>
          <w:tcPr>
            <w:tcW w:w="1418" w:type="dxa"/>
            <w:tcBorders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368.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002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361.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664</w:t>
            </w:r>
          </w:p>
        </w:tc>
        <w:tc>
          <w:tcPr>
            <w:tcW w:w="1275" w:type="dxa"/>
            <w:tcBorders>
              <w:lef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 w:rsidRPr="00682911">
              <w:rPr>
                <w:rFonts w:ascii="Arial" w:hAnsi="Arial" w:cs="Arial"/>
                <w:sz w:val="20"/>
                <w:lang w:val="tr-TR"/>
              </w:rPr>
              <w:t>1,8</w:t>
            </w:r>
          </w:p>
        </w:tc>
      </w:tr>
      <w:tr w:rsidR="0033082D" w:rsidRPr="00682911" w:rsidTr="007762AE">
        <w:trPr>
          <w:trHeight w:val="252"/>
        </w:trPr>
        <w:tc>
          <w:tcPr>
            <w:tcW w:w="3680" w:type="dxa"/>
          </w:tcPr>
          <w:p w:rsidR="0033082D" w:rsidRPr="00682911" w:rsidRDefault="00F92CF6" w:rsidP="00441BAE">
            <w:pPr>
              <w:jc w:val="center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Avrupa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 xml:space="preserve"> (Fransa haricinde)</w:t>
            </w:r>
          </w:p>
        </w:tc>
        <w:tc>
          <w:tcPr>
            <w:tcW w:w="1418" w:type="dxa"/>
            <w:tcBorders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657.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144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609.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464</w:t>
            </w:r>
          </w:p>
        </w:tc>
        <w:tc>
          <w:tcPr>
            <w:tcW w:w="1275" w:type="dxa"/>
            <w:tcBorders>
              <w:lef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 w:rsidRPr="00682911">
              <w:rPr>
                <w:rFonts w:ascii="Arial" w:hAnsi="Arial" w:cs="Arial"/>
                <w:sz w:val="20"/>
                <w:lang w:val="tr-TR"/>
              </w:rPr>
              <w:t>7,8</w:t>
            </w:r>
          </w:p>
        </w:tc>
      </w:tr>
      <w:tr w:rsidR="0033082D" w:rsidRPr="00682911" w:rsidTr="007762AE">
        <w:trPr>
          <w:trHeight w:val="252"/>
        </w:trPr>
        <w:tc>
          <w:tcPr>
            <w:tcW w:w="3680" w:type="dxa"/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b/>
                <w:sz w:val="20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lang w:val="tr-TR"/>
              </w:rPr>
              <w:t>Fransa + Avrupa</w:t>
            </w:r>
            <w:r>
              <w:rPr>
                <w:rFonts w:ascii="Arial" w:hAnsi="Arial" w:cs="Arial"/>
                <w:b/>
                <w:sz w:val="20"/>
                <w:lang w:val="tr-TR"/>
              </w:rPr>
              <w:t xml:space="preserve"> Toplam</w:t>
            </w:r>
          </w:p>
        </w:tc>
        <w:tc>
          <w:tcPr>
            <w:tcW w:w="1418" w:type="dxa"/>
            <w:tcBorders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lang w:val="tr-TR"/>
              </w:rPr>
              <w:t>1.025.</w:t>
            </w:r>
            <w:r w:rsidR="0033082D" w:rsidRPr="00682911">
              <w:rPr>
                <w:rFonts w:ascii="Arial" w:hAnsi="Arial" w:cs="Arial"/>
                <w:b/>
                <w:sz w:val="20"/>
                <w:lang w:val="tr-TR"/>
              </w:rPr>
              <w:t>146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lang w:val="tr-TR"/>
              </w:rPr>
              <w:t>971.</w:t>
            </w:r>
            <w:r w:rsidR="0033082D" w:rsidRPr="00682911">
              <w:rPr>
                <w:rFonts w:ascii="Arial" w:hAnsi="Arial" w:cs="Arial"/>
                <w:b/>
                <w:sz w:val="20"/>
                <w:lang w:val="tr-TR"/>
              </w:rPr>
              <w:t>128</w:t>
            </w:r>
          </w:p>
        </w:tc>
        <w:tc>
          <w:tcPr>
            <w:tcW w:w="1275" w:type="dxa"/>
            <w:tcBorders>
              <w:lef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lang w:val="tr-TR"/>
              </w:rPr>
              <w:t>5,6</w:t>
            </w:r>
          </w:p>
        </w:tc>
      </w:tr>
      <w:tr w:rsidR="0033082D" w:rsidRPr="00682911" w:rsidTr="007762AE">
        <w:trPr>
          <w:trHeight w:val="231"/>
        </w:trPr>
        <w:tc>
          <w:tcPr>
            <w:tcW w:w="3680" w:type="dxa"/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682911">
              <w:rPr>
                <w:rFonts w:ascii="Arial" w:hAnsi="Arial" w:cs="Arial"/>
                <w:sz w:val="20"/>
                <w:lang w:val="tr-TR"/>
              </w:rPr>
              <w:t>Afrika-Orta Doğu-Hindistan</w:t>
            </w:r>
          </w:p>
        </w:tc>
        <w:tc>
          <w:tcPr>
            <w:tcW w:w="1418" w:type="dxa"/>
            <w:tcBorders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249.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081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208.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708</w:t>
            </w:r>
          </w:p>
        </w:tc>
        <w:tc>
          <w:tcPr>
            <w:tcW w:w="1275" w:type="dxa"/>
            <w:tcBorders>
              <w:lef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 w:rsidRPr="00682911">
              <w:rPr>
                <w:rFonts w:ascii="Arial" w:hAnsi="Arial" w:cs="Arial"/>
                <w:sz w:val="20"/>
                <w:lang w:val="tr-TR"/>
              </w:rPr>
              <w:t>19,3</w:t>
            </w:r>
          </w:p>
        </w:tc>
      </w:tr>
      <w:tr w:rsidR="0033082D" w:rsidRPr="00682911" w:rsidTr="007762AE">
        <w:trPr>
          <w:trHeight w:val="231"/>
        </w:trPr>
        <w:tc>
          <w:tcPr>
            <w:tcW w:w="3680" w:type="dxa"/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682911">
              <w:rPr>
                <w:rFonts w:ascii="Arial" w:hAnsi="Arial" w:cs="Arial"/>
                <w:sz w:val="20"/>
                <w:lang w:val="tr-TR"/>
              </w:rPr>
              <w:t>Avrasya</w:t>
            </w:r>
          </w:p>
        </w:tc>
        <w:tc>
          <w:tcPr>
            <w:tcW w:w="1418" w:type="dxa"/>
            <w:tcBorders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323.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043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297.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552</w:t>
            </w:r>
          </w:p>
        </w:tc>
        <w:tc>
          <w:tcPr>
            <w:tcW w:w="1275" w:type="dxa"/>
            <w:tcBorders>
              <w:lef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 xml:space="preserve"> </w:t>
            </w:r>
            <w:r w:rsidRPr="00682911">
              <w:rPr>
                <w:rFonts w:ascii="Arial" w:hAnsi="Arial" w:cs="Arial"/>
                <w:sz w:val="20"/>
                <w:lang w:val="tr-TR"/>
              </w:rPr>
              <w:t>8,6</w:t>
            </w:r>
          </w:p>
        </w:tc>
      </w:tr>
      <w:tr w:rsidR="0033082D" w:rsidRPr="00682911" w:rsidTr="007762AE">
        <w:trPr>
          <w:trHeight w:val="231"/>
        </w:trPr>
        <w:tc>
          <w:tcPr>
            <w:tcW w:w="3680" w:type="dxa"/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682911">
              <w:rPr>
                <w:rFonts w:ascii="Arial" w:hAnsi="Arial" w:cs="Arial"/>
                <w:sz w:val="20"/>
                <w:lang w:val="tr-TR"/>
              </w:rPr>
              <w:t>Amerika kıtası</w:t>
            </w:r>
          </w:p>
        </w:tc>
        <w:tc>
          <w:tcPr>
            <w:tcW w:w="1418" w:type="dxa"/>
            <w:tcBorders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181.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566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158.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460</w:t>
            </w:r>
          </w:p>
        </w:tc>
        <w:tc>
          <w:tcPr>
            <w:tcW w:w="1275" w:type="dxa"/>
            <w:tcBorders>
              <w:lef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 w:rsidRPr="00682911">
              <w:rPr>
                <w:rFonts w:ascii="Arial" w:hAnsi="Arial" w:cs="Arial"/>
                <w:sz w:val="20"/>
                <w:lang w:val="tr-TR"/>
              </w:rPr>
              <w:t>14,6</w:t>
            </w:r>
          </w:p>
        </w:tc>
      </w:tr>
      <w:tr w:rsidR="0033082D" w:rsidRPr="00682911" w:rsidTr="007762AE">
        <w:trPr>
          <w:trHeight w:val="231"/>
        </w:trPr>
        <w:tc>
          <w:tcPr>
            <w:tcW w:w="3680" w:type="dxa"/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lang w:val="tr-TR"/>
              </w:rPr>
            </w:pPr>
            <w:r w:rsidRPr="00682911">
              <w:rPr>
                <w:rFonts w:ascii="Arial" w:hAnsi="Arial" w:cs="Arial"/>
                <w:sz w:val="20"/>
                <w:lang w:val="tr-TR"/>
              </w:rPr>
              <w:t>Asya-Pasifik</w:t>
            </w:r>
          </w:p>
        </w:tc>
        <w:tc>
          <w:tcPr>
            <w:tcW w:w="1418" w:type="dxa"/>
            <w:tcBorders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100.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452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>
              <w:rPr>
                <w:rFonts w:ascii="Arial" w:hAnsi="Arial" w:cs="Arial"/>
                <w:sz w:val="20"/>
                <w:lang w:val="tr-TR"/>
              </w:rPr>
              <w:t>66.</w:t>
            </w:r>
            <w:r w:rsidR="0033082D" w:rsidRPr="00682911">
              <w:rPr>
                <w:rFonts w:ascii="Arial" w:hAnsi="Arial" w:cs="Arial"/>
                <w:sz w:val="20"/>
                <w:lang w:val="tr-TR"/>
              </w:rPr>
              <w:t>729</w:t>
            </w:r>
          </w:p>
        </w:tc>
        <w:tc>
          <w:tcPr>
            <w:tcW w:w="1275" w:type="dxa"/>
            <w:tcBorders>
              <w:lef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sz w:val="20"/>
                <w:lang w:val="tr-TR"/>
              </w:rPr>
            </w:pPr>
            <w:r w:rsidRPr="00682911">
              <w:rPr>
                <w:rFonts w:ascii="Arial" w:hAnsi="Arial" w:cs="Arial"/>
                <w:sz w:val="20"/>
                <w:lang w:val="tr-TR"/>
              </w:rPr>
              <w:t>50,5</w:t>
            </w:r>
          </w:p>
        </w:tc>
      </w:tr>
      <w:tr w:rsidR="0033082D" w:rsidRPr="00682911" w:rsidTr="007762AE">
        <w:trPr>
          <w:trHeight w:val="231"/>
        </w:trPr>
        <w:tc>
          <w:tcPr>
            <w:tcW w:w="3680" w:type="dxa"/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sz w:val="20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lang w:val="tr-TR"/>
              </w:rPr>
              <w:t>Toplam (Fransa + Avrupa haricinde)</w:t>
            </w:r>
          </w:p>
        </w:tc>
        <w:tc>
          <w:tcPr>
            <w:tcW w:w="1418" w:type="dxa"/>
            <w:tcBorders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lang w:val="tr-TR"/>
              </w:rPr>
              <w:t>854.</w:t>
            </w:r>
            <w:r w:rsidR="0033082D" w:rsidRPr="00682911">
              <w:rPr>
                <w:rFonts w:ascii="Arial" w:hAnsi="Arial" w:cs="Arial"/>
                <w:b/>
                <w:sz w:val="20"/>
                <w:lang w:val="tr-TR"/>
              </w:rPr>
              <w:t>142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lang w:val="tr-TR"/>
              </w:rPr>
              <w:t>731.</w:t>
            </w:r>
            <w:r w:rsidR="0033082D" w:rsidRPr="00682911">
              <w:rPr>
                <w:rFonts w:ascii="Arial" w:hAnsi="Arial" w:cs="Arial"/>
                <w:b/>
                <w:sz w:val="20"/>
                <w:lang w:val="tr-TR"/>
              </w:rPr>
              <w:t>449</w:t>
            </w:r>
          </w:p>
        </w:tc>
        <w:tc>
          <w:tcPr>
            <w:tcW w:w="1275" w:type="dxa"/>
            <w:tcBorders>
              <w:lef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lang w:val="tr-TR"/>
              </w:rPr>
              <w:t>16,8</w:t>
            </w:r>
          </w:p>
        </w:tc>
      </w:tr>
      <w:tr w:rsidR="0033082D" w:rsidRPr="00682911" w:rsidTr="007762AE">
        <w:trPr>
          <w:trHeight w:val="231"/>
        </w:trPr>
        <w:tc>
          <w:tcPr>
            <w:tcW w:w="3680" w:type="dxa"/>
            <w:shd w:val="clear" w:color="auto" w:fill="000000"/>
          </w:tcPr>
          <w:p w:rsidR="0033082D" w:rsidRPr="00682911" w:rsidRDefault="007762AE" w:rsidP="00441BAE">
            <w:pPr>
              <w:jc w:val="center"/>
              <w:rPr>
                <w:rFonts w:ascii="Arial" w:hAnsi="Arial" w:cs="Arial"/>
                <w:b/>
                <w:color w:val="FFFFFF"/>
                <w:sz w:val="20"/>
                <w:lang w:val="tr-TR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tr-TR"/>
              </w:rPr>
              <w:t>Dünya Toplam</w:t>
            </w:r>
          </w:p>
        </w:tc>
        <w:tc>
          <w:tcPr>
            <w:tcW w:w="1418" w:type="dxa"/>
            <w:shd w:val="clear" w:color="auto" w:fill="000000"/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lang w:val="tr-TR"/>
              </w:rPr>
              <w:t>1.879.</w:t>
            </w:r>
            <w:r w:rsidR="0033082D" w:rsidRPr="00682911">
              <w:rPr>
                <w:rFonts w:ascii="Arial" w:hAnsi="Arial" w:cs="Arial"/>
                <w:b/>
                <w:sz w:val="20"/>
                <w:lang w:val="tr-TR"/>
              </w:rPr>
              <w:t>288</w:t>
            </w:r>
          </w:p>
        </w:tc>
        <w:tc>
          <w:tcPr>
            <w:tcW w:w="1276" w:type="dxa"/>
            <w:shd w:val="clear" w:color="auto" w:fill="000000"/>
          </w:tcPr>
          <w:p w:rsidR="0033082D" w:rsidRPr="00682911" w:rsidRDefault="00C70F4E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>
              <w:rPr>
                <w:rFonts w:ascii="Arial" w:hAnsi="Arial" w:cs="Arial"/>
                <w:b/>
                <w:sz w:val="20"/>
                <w:lang w:val="tr-TR"/>
              </w:rPr>
              <w:t>1.702.</w:t>
            </w:r>
            <w:r w:rsidR="0033082D" w:rsidRPr="00682911">
              <w:rPr>
                <w:rFonts w:ascii="Arial" w:hAnsi="Arial" w:cs="Arial"/>
                <w:b/>
                <w:sz w:val="20"/>
                <w:lang w:val="tr-TR"/>
              </w:rPr>
              <w:t>577</w:t>
            </w:r>
          </w:p>
        </w:tc>
        <w:tc>
          <w:tcPr>
            <w:tcW w:w="1275" w:type="dxa"/>
            <w:shd w:val="clear" w:color="auto" w:fill="000000"/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lang w:val="tr-TR"/>
              </w:rPr>
              <w:t>10,4</w:t>
            </w:r>
          </w:p>
        </w:tc>
      </w:tr>
    </w:tbl>
    <w:p w:rsidR="0033082D" w:rsidRPr="00682911" w:rsidRDefault="0033082D" w:rsidP="0033082D">
      <w:pPr>
        <w:ind w:left="1418"/>
        <w:rPr>
          <w:rFonts w:ascii="Arial" w:hAnsi="Arial" w:cs="Arial"/>
          <w:sz w:val="20"/>
          <w:szCs w:val="16"/>
          <w:lang w:val="tr-TR"/>
        </w:rPr>
      </w:pPr>
    </w:p>
    <w:p w:rsidR="0033082D" w:rsidRPr="00682911" w:rsidRDefault="0033082D" w:rsidP="0033082D">
      <w:pPr>
        <w:spacing w:before="120" w:after="120"/>
        <w:ind w:left="1418"/>
        <w:rPr>
          <w:rFonts w:ascii="Arial" w:hAnsi="Arial" w:cs="Arial"/>
          <w:b/>
          <w:sz w:val="20"/>
          <w:szCs w:val="16"/>
          <w:lang w:val="tr-TR"/>
        </w:rPr>
      </w:pPr>
      <w:r w:rsidRPr="00682911">
        <w:rPr>
          <w:rFonts w:ascii="Arial" w:hAnsi="Arial" w:cs="Arial"/>
          <w:b/>
          <w:sz w:val="20"/>
          <w:szCs w:val="16"/>
          <w:lang w:val="tr-TR"/>
        </w:rPr>
        <w:t>Markalara göre Satışlar</w:t>
      </w: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5"/>
        <w:gridCol w:w="1134"/>
        <w:gridCol w:w="1276"/>
        <w:gridCol w:w="1984"/>
      </w:tblGrid>
      <w:tr w:rsidR="0033082D" w:rsidRPr="00682911" w:rsidTr="00114C6E">
        <w:trPr>
          <w:trHeight w:val="251"/>
        </w:trPr>
        <w:tc>
          <w:tcPr>
            <w:tcW w:w="3255" w:type="dxa"/>
            <w:tcBorders>
              <w:bottom w:val="nil"/>
            </w:tcBorders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</w:p>
        </w:tc>
        <w:tc>
          <w:tcPr>
            <w:tcW w:w="4394" w:type="dxa"/>
            <w:gridSpan w:val="3"/>
          </w:tcPr>
          <w:p w:rsidR="0033082D" w:rsidRPr="00682911" w:rsidRDefault="007762AE" w:rsidP="007762A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İlk 6 ay</w:t>
            </w:r>
            <w:r w:rsidR="002C0754">
              <w:rPr>
                <w:rFonts w:ascii="Arial" w:hAnsi="Arial" w:cs="Arial"/>
                <w:b/>
                <w:sz w:val="20"/>
                <w:szCs w:val="16"/>
                <w:lang w:val="tr-TR"/>
              </w:rPr>
              <w:t xml:space="preserve"> – Satış a</w:t>
            </w:r>
            <w:r w:rsidR="00F92CF6">
              <w:rPr>
                <w:rFonts w:ascii="Arial" w:hAnsi="Arial" w:cs="Arial"/>
                <w:b/>
                <w:sz w:val="20"/>
                <w:szCs w:val="16"/>
                <w:lang w:val="tr-TR"/>
              </w:rPr>
              <w:t>dedi</w:t>
            </w:r>
          </w:p>
        </w:tc>
      </w:tr>
      <w:tr w:rsidR="0033082D" w:rsidRPr="00682911" w:rsidTr="00114C6E">
        <w:trPr>
          <w:trHeight w:val="251"/>
        </w:trPr>
        <w:tc>
          <w:tcPr>
            <w:tcW w:w="3255" w:type="dxa"/>
            <w:tcBorders>
              <w:top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2017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2016</w:t>
            </w:r>
          </w:p>
        </w:tc>
        <w:tc>
          <w:tcPr>
            <w:tcW w:w="1984" w:type="dxa"/>
            <w:tcBorders>
              <w:left w:val="nil"/>
            </w:tcBorders>
          </w:tcPr>
          <w:p w:rsidR="0033082D" w:rsidRPr="00682911" w:rsidRDefault="007762AE" w:rsidP="007762A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F</w:t>
            </w:r>
            <w:r w:rsidR="0033082D"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ark</w:t>
            </w: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 xml:space="preserve"> %</w:t>
            </w:r>
          </w:p>
        </w:tc>
      </w:tr>
      <w:tr w:rsidR="0033082D" w:rsidRPr="00682911" w:rsidTr="00114C6E">
        <w:trPr>
          <w:trHeight w:val="251"/>
        </w:trPr>
        <w:tc>
          <w:tcPr>
            <w:tcW w:w="3255" w:type="dxa"/>
            <w:tcBorders>
              <w:bottom w:val="nil"/>
            </w:tcBorders>
            <w:shd w:val="clear" w:color="auto" w:fill="FFC000"/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bCs/>
                <w:color w:val="FFFFFF"/>
                <w:sz w:val="20"/>
                <w:szCs w:val="24"/>
                <w:lang w:val="tr-TR"/>
              </w:rPr>
            </w:pPr>
            <w:r w:rsidRPr="00682911">
              <w:rPr>
                <w:rFonts w:ascii="Arial" w:hAnsi="Arial" w:cs="Arial"/>
                <w:b/>
                <w:bCs/>
                <w:sz w:val="20"/>
                <w:szCs w:val="24"/>
                <w:lang w:val="tr-TR"/>
              </w:rPr>
              <w:t>RENAULT</w:t>
            </w:r>
          </w:p>
        </w:tc>
        <w:tc>
          <w:tcPr>
            <w:tcW w:w="4394" w:type="dxa"/>
            <w:gridSpan w:val="3"/>
            <w:tcBorders>
              <w:bottom w:val="nil"/>
            </w:tcBorders>
            <w:shd w:val="clear" w:color="auto" w:fill="FFC000"/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bCs/>
                <w:color w:val="FFFFFF"/>
                <w:sz w:val="20"/>
                <w:szCs w:val="24"/>
                <w:lang w:val="tr-TR"/>
              </w:rPr>
            </w:pPr>
          </w:p>
        </w:tc>
      </w:tr>
      <w:tr w:rsidR="0033082D" w:rsidRPr="00682911" w:rsidTr="00114C6E">
        <w:trPr>
          <w:trHeight w:val="251"/>
        </w:trPr>
        <w:tc>
          <w:tcPr>
            <w:tcW w:w="3255" w:type="dxa"/>
            <w:tcBorders>
              <w:top w:val="nil"/>
              <w:bottom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 xml:space="preserve">Binek </w:t>
            </w:r>
            <w:r w:rsidR="00F92CF6">
              <w:rPr>
                <w:rFonts w:ascii="Arial" w:hAnsi="Arial" w:cs="Arial"/>
                <w:sz w:val="20"/>
                <w:szCs w:val="16"/>
                <w:lang w:val="tr-TR"/>
              </w:rPr>
              <w:t>Otomobil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1.141.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703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1.030.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731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3082D" w:rsidRPr="00682911" w:rsidRDefault="0033082D" w:rsidP="007762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10,8</w:t>
            </w:r>
          </w:p>
        </w:tc>
      </w:tr>
      <w:tr w:rsidR="0033082D" w:rsidRPr="00682911" w:rsidTr="00114C6E">
        <w:trPr>
          <w:trHeight w:val="251"/>
        </w:trPr>
        <w:tc>
          <w:tcPr>
            <w:tcW w:w="3255" w:type="dxa"/>
            <w:tcBorders>
              <w:top w:val="nil"/>
              <w:bottom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Hafif Ticari Araç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201.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193.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3082D" w:rsidRPr="00682911" w:rsidRDefault="0033082D" w:rsidP="007762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4,3</w:t>
            </w:r>
          </w:p>
        </w:tc>
      </w:tr>
      <w:tr w:rsidR="0033082D" w:rsidRPr="00682911" w:rsidTr="00114C6E">
        <w:trPr>
          <w:trHeight w:val="251"/>
        </w:trPr>
        <w:tc>
          <w:tcPr>
            <w:tcW w:w="3255" w:type="dxa"/>
            <w:tcBorders>
              <w:top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 xml:space="preserve">Binek </w:t>
            </w: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Otomobili</w:t>
            </w:r>
            <w:r w:rsidR="007762AE">
              <w:rPr>
                <w:rFonts w:ascii="Arial" w:hAnsi="Arial" w:cs="Arial"/>
                <w:b/>
                <w:sz w:val="20"/>
                <w:szCs w:val="16"/>
                <w:lang w:val="tr-TR"/>
              </w:rPr>
              <w:t xml:space="preserve"> + Hafif Ticari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1.343.</w:t>
            </w:r>
            <w:r w:rsidR="0033082D"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1.224.</w:t>
            </w:r>
            <w:r w:rsidR="0033082D"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031</w:t>
            </w:r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33082D" w:rsidRPr="00682911" w:rsidRDefault="0033082D" w:rsidP="007762A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9,7</w:t>
            </w:r>
          </w:p>
        </w:tc>
      </w:tr>
      <w:tr w:rsidR="0033082D" w:rsidRPr="00682911" w:rsidTr="00114C6E">
        <w:trPr>
          <w:trHeight w:val="251"/>
        </w:trPr>
        <w:tc>
          <w:tcPr>
            <w:tcW w:w="3255" w:type="dxa"/>
            <w:tcBorders>
              <w:bottom w:val="nil"/>
            </w:tcBorders>
            <w:shd w:val="clear" w:color="auto" w:fill="BFBFBF"/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RENAULT SAMSUNG MOTORS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BFBFBF"/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BFBFBF"/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BFBFBF"/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top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 xml:space="preserve">Binek </w:t>
            </w:r>
            <w:r w:rsidR="00F92CF6">
              <w:rPr>
                <w:rFonts w:ascii="Arial" w:hAnsi="Arial" w:cs="Arial"/>
                <w:sz w:val="20"/>
                <w:szCs w:val="16"/>
                <w:lang w:val="tr-TR"/>
              </w:rPr>
              <w:t>Otomobil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52.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776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46.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917</w:t>
            </w:r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33082D" w:rsidRPr="00682911" w:rsidRDefault="0033082D" w:rsidP="007762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12,5</w:t>
            </w: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bottom w:val="nil"/>
            </w:tcBorders>
            <w:shd w:val="clear" w:color="auto" w:fill="061CE8"/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color w:val="FFFFFF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color w:val="FFFFFF"/>
                <w:sz w:val="20"/>
                <w:szCs w:val="16"/>
                <w:lang w:val="tr-TR"/>
              </w:rPr>
              <w:t>DACIA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061CE8"/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color w:val="FFFFFF"/>
                <w:sz w:val="20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061CE8"/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color w:val="FFFFFF"/>
                <w:sz w:val="20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061CE8"/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color w:val="FFFFFF"/>
                <w:sz w:val="20"/>
                <w:szCs w:val="16"/>
                <w:lang w:val="tr-TR"/>
              </w:rPr>
            </w:pP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top w:val="nil"/>
              <w:bottom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 xml:space="preserve">Binek </w:t>
            </w:r>
            <w:r w:rsidR="00F92CF6">
              <w:rPr>
                <w:rFonts w:ascii="Arial" w:hAnsi="Arial" w:cs="Arial"/>
                <w:sz w:val="20"/>
                <w:szCs w:val="16"/>
                <w:lang w:val="tr-TR"/>
              </w:rPr>
              <w:t>Otomobil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33082D" w:rsidRPr="00682911" w:rsidRDefault="00722167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310.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276.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242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3082D" w:rsidRPr="00682911" w:rsidRDefault="0033082D" w:rsidP="007762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12,3</w:t>
            </w: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top w:val="nil"/>
              <w:bottom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Hafif Ticari Araç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33082D" w:rsidRPr="00682911" w:rsidRDefault="00722167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22.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704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21.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368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3082D" w:rsidRPr="00682911" w:rsidRDefault="0033082D" w:rsidP="007762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6,3</w:t>
            </w: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top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 xml:space="preserve">Binek </w:t>
            </w: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Otomobili</w:t>
            </w:r>
            <w:r w:rsidR="007762AE">
              <w:rPr>
                <w:rFonts w:ascii="Arial" w:hAnsi="Arial" w:cs="Arial"/>
                <w:b/>
                <w:sz w:val="20"/>
                <w:szCs w:val="16"/>
                <w:lang w:val="tr-TR"/>
              </w:rPr>
              <w:t xml:space="preserve"> + Hafif Ticari 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33082D" w:rsidRPr="00682911" w:rsidRDefault="00722167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332.</w:t>
            </w:r>
            <w:r w:rsidR="0033082D"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845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297.</w:t>
            </w:r>
            <w:r w:rsidR="0033082D"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33082D" w:rsidRPr="00682911" w:rsidRDefault="0033082D" w:rsidP="007762A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11,8</w:t>
            </w: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bottom w:val="nil"/>
            </w:tcBorders>
            <w:shd w:val="clear" w:color="auto" w:fill="00FFFF"/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LADA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00FFFF"/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00FFFF"/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00FFFF"/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top w:val="nil"/>
              <w:bottom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 xml:space="preserve">Binek </w:t>
            </w:r>
            <w:r>
              <w:rPr>
                <w:rFonts w:ascii="Arial" w:hAnsi="Arial" w:cs="Arial"/>
                <w:sz w:val="20"/>
                <w:szCs w:val="16"/>
                <w:lang w:val="tr-TR"/>
              </w:rPr>
              <w:t>Otomobili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144.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836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130.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243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3082D" w:rsidRPr="00682911" w:rsidRDefault="0033082D" w:rsidP="007762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11,2</w:t>
            </w: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top w:val="nil"/>
              <w:bottom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Hafif Ticari Araç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5.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33.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776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3082D" w:rsidRPr="00682911" w:rsidRDefault="0033082D" w:rsidP="007762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45,9</w:t>
            </w: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top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 xml:space="preserve">Binek </w:t>
            </w: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Otomobili</w:t>
            </w:r>
            <w:r w:rsidR="007762AE">
              <w:rPr>
                <w:rFonts w:ascii="Arial" w:hAnsi="Arial" w:cs="Arial"/>
                <w:b/>
                <w:sz w:val="20"/>
                <w:szCs w:val="16"/>
                <w:lang w:val="tr-TR"/>
              </w:rPr>
              <w:t xml:space="preserve"> + Hafif Ticari 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150.</w:t>
            </w:r>
            <w:r w:rsidR="0033082D"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134.</w:t>
            </w:r>
            <w:r w:rsidR="0033082D"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019</w:t>
            </w:r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33082D" w:rsidRPr="00682911" w:rsidRDefault="0033082D" w:rsidP="007762A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12,2</w:t>
            </w: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shd w:val="clear" w:color="auto" w:fill="000000"/>
          </w:tcPr>
          <w:p w:rsidR="0033082D" w:rsidRPr="00682911" w:rsidRDefault="0033082D" w:rsidP="00441BAE">
            <w:pPr>
              <w:rPr>
                <w:rFonts w:ascii="Arial" w:hAnsi="Arial" w:cs="Arial"/>
                <w:b/>
                <w:color w:val="FFFFFF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color w:val="FFFFFF"/>
                <w:sz w:val="20"/>
                <w:szCs w:val="16"/>
                <w:lang w:val="tr-TR"/>
              </w:rPr>
              <w:t>RENAULT GRUBU</w:t>
            </w:r>
          </w:p>
        </w:tc>
        <w:tc>
          <w:tcPr>
            <w:tcW w:w="1134" w:type="dxa"/>
            <w:shd w:val="clear" w:color="auto" w:fill="000000"/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color w:val="FFFFFF"/>
                <w:sz w:val="20"/>
                <w:szCs w:val="16"/>
                <w:lang w:val="tr-TR"/>
              </w:rPr>
            </w:pPr>
          </w:p>
        </w:tc>
        <w:tc>
          <w:tcPr>
            <w:tcW w:w="1276" w:type="dxa"/>
            <w:shd w:val="clear" w:color="auto" w:fill="000000"/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color w:val="FFFFFF"/>
                <w:sz w:val="20"/>
                <w:szCs w:val="16"/>
                <w:lang w:val="tr-TR"/>
              </w:rPr>
            </w:pPr>
          </w:p>
        </w:tc>
        <w:tc>
          <w:tcPr>
            <w:tcW w:w="1984" w:type="dxa"/>
            <w:shd w:val="clear" w:color="auto" w:fill="000000"/>
          </w:tcPr>
          <w:p w:rsidR="0033082D" w:rsidRPr="00682911" w:rsidRDefault="0033082D" w:rsidP="00441BAE">
            <w:pPr>
              <w:jc w:val="right"/>
              <w:rPr>
                <w:rFonts w:ascii="Arial" w:hAnsi="Arial" w:cs="Arial"/>
                <w:b/>
                <w:color w:val="FFFFFF"/>
                <w:sz w:val="20"/>
                <w:szCs w:val="16"/>
                <w:lang w:val="tr-TR"/>
              </w:rPr>
            </w:pP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bottom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 xml:space="preserve">Binek </w:t>
            </w:r>
            <w:r>
              <w:rPr>
                <w:rFonts w:ascii="Arial" w:hAnsi="Arial" w:cs="Arial"/>
                <w:sz w:val="20"/>
                <w:szCs w:val="16"/>
                <w:lang w:val="tr-TR"/>
              </w:rPr>
              <w:t>Otomobili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1.649.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456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1.484.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133</w:t>
            </w: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33082D" w:rsidRPr="00682911" w:rsidRDefault="0033082D" w:rsidP="00F92CF6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11,1</w:t>
            </w: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top w:val="nil"/>
              <w:bottom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Hafif Ticari Araç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229.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832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sz w:val="20"/>
                <w:szCs w:val="16"/>
                <w:lang w:val="tr-TR"/>
              </w:rPr>
              <w:t>218.</w:t>
            </w:r>
            <w:r w:rsidR="0033082D" w:rsidRPr="00682911">
              <w:rPr>
                <w:rFonts w:ascii="Arial" w:hAnsi="Arial" w:cs="Arial"/>
                <w:sz w:val="20"/>
                <w:szCs w:val="16"/>
                <w:lang w:val="tr-TR"/>
              </w:rPr>
              <w:t>444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3082D" w:rsidRPr="00682911" w:rsidRDefault="0033082D" w:rsidP="00F92CF6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sz w:val="20"/>
                <w:szCs w:val="16"/>
                <w:lang w:val="tr-TR"/>
              </w:rPr>
              <w:t>5,2</w:t>
            </w:r>
          </w:p>
        </w:tc>
      </w:tr>
      <w:tr w:rsidR="0033082D" w:rsidRPr="00682911" w:rsidTr="00114C6E">
        <w:trPr>
          <w:trHeight w:val="230"/>
        </w:trPr>
        <w:tc>
          <w:tcPr>
            <w:tcW w:w="3255" w:type="dxa"/>
            <w:tcBorders>
              <w:top w:val="nil"/>
            </w:tcBorders>
          </w:tcPr>
          <w:p w:rsidR="0033082D" w:rsidRPr="00682911" w:rsidRDefault="0033082D" w:rsidP="00441BAE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 xml:space="preserve">Binek </w:t>
            </w: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Otomobili</w:t>
            </w:r>
            <w:r w:rsidR="007762AE">
              <w:rPr>
                <w:rFonts w:ascii="Arial" w:hAnsi="Arial" w:cs="Arial"/>
                <w:b/>
                <w:sz w:val="20"/>
                <w:szCs w:val="16"/>
                <w:lang w:val="tr-TR"/>
              </w:rPr>
              <w:t xml:space="preserve"> + Hafif Ticari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33082D" w:rsidRPr="00682911" w:rsidRDefault="00380D13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1.879.</w:t>
            </w:r>
            <w:r w:rsidR="0033082D"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33082D" w:rsidRPr="00682911" w:rsidRDefault="00981479" w:rsidP="00441BAE">
            <w:pPr>
              <w:jc w:val="right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val="tr-TR"/>
              </w:rPr>
              <w:t>1.702.</w:t>
            </w:r>
            <w:r w:rsidR="0033082D"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577</w:t>
            </w:r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33082D" w:rsidRPr="00682911" w:rsidRDefault="0033082D" w:rsidP="00F92CF6">
            <w:pPr>
              <w:jc w:val="center"/>
              <w:rPr>
                <w:rFonts w:ascii="Arial" w:hAnsi="Arial" w:cs="Arial"/>
                <w:b/>
                <w:sz w:val="20"/>
                <w:szCs w:val="16"/>
                <w:lang w:val="tr-TR"/>
              </w:rPr>
            </w:pPr>
            <w:r w:rsidRPr="00682911">
              <w:rPr>
                <w:rFonts w:ascii="Arial" w:hAnsi="Arial" w:cs="Arial"/>
                <w:b/>
                <w:sz w:val="20"/>
                <w:szCs w:val="16"/>
                <w:lang w:val="tr-TR"/>
              </w:rPr>
              <w:t>10,4</w:t>
            </w:r>
          </w:p>
        </w:tc>
      </w:tr>
    </w:tbl>
    <w:p w:rsidR="0033082D" w:rsidRPr="00682911" w:rsidRDefault="0033082D" w:rsidP="0033082D">
      <w:pPr>
        <w:ind w:left="1418"/>
        <w:rPr>
          <w:rFonts w:ascii="Arial" w:hAnsi="Arial" w:cs="Arial"/>
          <w:sz w:val="20"/>
          <w:szCs w:val="16"/>
          <w:lang w:val="tr-TR"/>
        </w:rPr>
      </w:pPr>
    </w:p>
    <w:p w:rsidR="0033082D" w:rsidRPr="00682911" w:rsidRDefault="0033082D" w:rsidP="0033082D">
      <w:pPr>
        <w:rPr>
          <w:rFonts w:ascii="Arial" w:hAnsi="Arial" w:cs="Arial"/>
          <w:sz w:val="16"/>
          <w:szCs w:val="16"/>
          <w:lang w:val="tr-TR"/>
        </w:rPr>
      </w:pPr>
    </w:p>
    <w:tbl>
      <w:tblPr>
        <w:tblW w:w="7894" w:type="dxa"/>
        <w:tblInd w:w="1701" w:type="dxa"/>
        <w:tblLook w:val="00A0" w:firstRow="1" w:lastRow="0" w:firstColumn="1" w:lastColumn="0" w:noHBand="0" w:noVBand="0"/>
      </w:tblPr>
      <w:tblGrid>
        <w:gridCol w:w="473"/>
        <w:gridCol w:w="3611"/>
        <w:gridCol w:w="1361"/>
        <w:gridCol w:w="2449"/>
      </w:tblGrid>
      <w:tr w:rsidR="0033082D" w:rsidRPr="00682911" w:rsidTr="0040765C">
        <w:trPr>
          <w:trHeight w:val="426"/>
        </w:trPr>
        <w:tc>
          <w:tcPr>
            <w:tcW w:w="7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Default="00A937E8" w:rsidP="00441BAE">
            <w:pPr>
              <w:rPr>
                <w:rFonts w:ascii="Arial" w:hAnsi="Arial" w:cs="Arial"/>
                <w:b/>
                <w:bCs/>
                <w:sz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lang w:val="tr-TR"/>
              </w:rPr>
              <w:t xml:space="preserve">                      </w:t>
            </w:r>
            <w:r w:rsidR="0033082D" w:rsidRPr="00682911">
              <w:rPr>
                <w:rFonts w:ascii="Arial" w:hAnsi="Arial" w:cs="Arial"/>
                <w:b/>
                <w:bCs/>
                <w:sz w:val="20"/>
                <w:lang w:val="tr-TR"/>
              </w:rPr>
              <w:t xml:space="preserve">Renault Grubu: 15 pazar – </w:t>
            </w:r>
            <w:r w:rsidR="007762AE">
              <w:rPr>
                <w:rFonts w:ascii="Arial" w:hAnsi="Arial" w:cs="Arial"/>
                <w:b/>
                <w:bCs/>
                <w:sz w:val="20"/>
                <w:lang w:val="tr-TR"/>
              </w:rPr>
              <w:t>İlk 6 ay</w:t>
            </w:r>
            <w:r w:rsidR="00114C6E" w:rsidRPr="00114C6E">
              <w:rPr>
                <w:rFonts w:ascii="Arial" w:hAnsi="Arial" w:cs="Arial"/>
                <w:b/>
                <w:bCs/>
                <w:i/>
                <w:sz w:val="20"/>
                <w:lang w:val="tr-TR"/>
              </w:rPr>
              <w:t xml:space="preserve"> (</w:t>
            </w:r>
            <w:proofErr w:type="spellStart"/>
            <w:r w:rsidR="00114C6E" w:rsidRPr="00114C6E">
              <w:rPr>
                <w:rFonts w:ascii="Arial" w:hAnsi="Arial" w:cs="Arial"/>
                <w:b/>
                <w:bCs/>
                <w:i/>
                <w:sz w:val="20"/>
                <w:lang w:val="tr-TR"/>
              </w:rPr>
              <w:t>Twizy</w:t>
            </w:r>
            <w:proofErr w:type="spellEnd"/>
            <w:r w:rsidR="00114C6E" w:rsidRPr="00114C6E">
              <w:rPr>
                <w:rFonts w:ascii="Arial" w:hAnsi="Arial" w:cs="Arial"/>
                <w:b/>
                <w:bCs/>
                <w:i/>
                <w:sz w:val="20"/>
                <w:lang w:val="tr-TR"/>
              </w:rPr>
              <w:t xml:space="preserve"> hariç)</w:t>
            </w:r>
          </w:p>
          <w:p w:rsidR="00114C6E" w:rsidRPr="00682911" w:rsidRDefault="00114C6E" w:rsidP="00441BAE">
            <w:pPr>
              <w:rPr>
                <w:rFonts w:ascii="Arial" w:hAnsi="Arial" w:cs="Arial"/>
                <w:b/>
                <w:bCs/>
                <w:sz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lang w:val="tr-TR"/>
              </w:rPr>
              <w:t xml:space="preserve">                                                                               Satış adedi             Pazar Payı %</w:t>
            </w:r>
          </w:p>
          <w:p w:rsidR="0033082D" w:rsidRPr="00F92CF6" w:rsidRDefault="0033082D" w:rsidP="00441BAE">
            <w:pPr>
              <w:rPr>
                <w:rFonts w:ascii="Times New Roman" w:hAnsi="Times New Roman"/>
                <w:sz w:val="8"/>
                <w:lang w:val="tr-TR"/>
              </w:rPr>
            </w:pPr>
          </w:p>
        </w:tc>
      </w:tr>
      <w:tr w:rsidR="0033082D" w:rsidRPr="00682911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cs="Arial"/>
                <w:sz w:val="20"/>
                <w:szCs w:val="24"/>
                <w:lang w:val="tr-TR"/>
              </w:rPr>
            </w:pPr>
            <w:r w:rsidRPr="00F92CF6">
              <w:rPr>
                <w:rFonts w:cs="Arial"/>
                <w:sz w:val="20"/>
                <w:szCs w:val="24"/>
                <w:lang w:val="tr-TR"/>
              </w:rPr>
              <w:t>1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FRANSA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368.</w:t>
            </w:r>
            <w:r w:rsidR="0033082D" w:rsidRPr="00F92CF6">
              <w:rPr>
                <w:rFonts w:ascii="Arial" w:hAnsi="Arial" w:cs="Arial"/>
                <w:sz w:val="16"/>
                <w:szCs w:val="24"/>
                <w:lang w:val="tr-TR"/>
              </w:rPr>
              <w:t>002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26,96</w:t>
            </w:r>
          </w:p>
        </w:tc>
      </w:tr>
      <w:tr w:rsidR="0033082D" w:rsidRPr="00682911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cs="Arial"/>
                <w:sz w:val="20"/>
                <w:szCs w:val="24"/>
                <w:lang w:val="tr-TR"/>
              </w:rPr>
            </w:pPr>
            <w:r w:rsidRPr="00F92CF6">
              <w:rPr>
                <w:rFonts w:cs="Arial"/>
                <w:sz w:val="20"/>
                <w:szCs w:val="24"/>
                <w:lang w:val="tr-TR"/>
              </w:rPr>
              <w:t>2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RUSYA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201.</w:t>
            </w:r>
            <w:r w:rsidR="0033082D" w:rsidRPr="00F92CF6">
              <w:rPr>
                <w:rFonts w:ascii="Arial" w:hAnsi="Arial" w:cs="Arial"/>
                <w:sz w:val="16"/>
                <w:szCs w:val="24"/>
                <w:lang w:val="tr-TR"/>
              </w:rPr>
              <w:t>065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27,98</w:t>
            </w:r>
          </w:p>
        </w:tc>
      </w:tr>
      <w:tr w:rsidR="0033082D" w:rsidRPr="00682911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cs="Arial"/>
                <w:sz w:val="20"/>
                <w:szCs w:val="24"/>
                <w:lang w:val="tr-TR"/>
              </w:rPr>
            </w:pPr>
            <w:r w:rsidRPr="00F92CF6">
              <w:rPr>
                <w:rFonts w:cs="Arial"/>
                <w:sz w:val="20"/>
                <w:szCs w:val="24"/>
                <w:lang w:val="tr-TR"/>
              </w:rPr>
              <w:t>3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İTALYA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122.</w:t>
            </w:r>
            <w:r w:rsidR="0033082D" w:rsidRPr="00F92CF6">
              <w:rPr>
                <w:rFonts w:ascii="Arial" w:hAnsi="Arial" w:cs="Arial"/>
                <w:sz w:val="16"/>
                <w:szCs w:val="24"/>
                <w:lang w:val="tr-TR"/>
              </w:rPr>
              <w:t>339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9,99</w:t>
            </w:r>
          </w:p>
        </w:tc>
      </w:tr>
      <w:tr w:rsidR="0033082D" w:rsidRPr="00682911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cs="Arial"/>
                <w:sz w:val="20"/>
                <w:szCs w:val="24"/>
                <w:lang w:val="tr-TR"/>
              </w:rPr>
            </w:pPr>
            <w:r w:rsidRPr="00F92CF6">
              <w:rPr>
                <w:rFonts w:cs="Arial"/>
                <w:sz w:val="20"/>
                <w:szCs w:val="24"/>
                <w:lang w:val="tr-TR"/>
              </w:rPr>
              <w:t>4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ALMANYA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115.</w:t>
            </w:r>
            <w:r w:rsidR="0033082D" w:rsidRPr="00F92CF6">
              <w:rPr>
                <w:rFonts w:ascii="Arial" w:hAnsi="Arial" w:cs="Arial"/>
                <w:sz w:val="16"/>
                <w:szCs w:val="24"/>
                <w:lang w:val="tr-TR"/>
              </w:rPr>
              <w:t>977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6,04</w:t>
            </w:r>
          </w:p>
        </w:tc>
      </w:tr>
      <w:tr w:rsidR="0033082D" w:rsidRPr="00682911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cs="Arial"/>
                <w:sz w:val="20"/>
                <w:szCs w:val="24"/>
                <w:lang w:val="tr-TR"/>
              </w:rPr>
            </w:pPr>
            <w:r w:rsidRPr="00F92CF6">
              <w:rPr>
                <w:rFonts w:cs="Arial"/>
                <w:sz w:val="20"/>
                <w:szCs w:val="24"/>
                <w:lang w:val="tr-TR"/>
              </w:rPr>
              <w:t>5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İSPANYA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89.</w:t>
            </w:r>
            <w:r w:rsidR="0033082D" w:rsidRPr="00F92CF6">
              <w:rPr>
                <w:rFonts w:ascii="Arial" w:hAnsi="Arial" w:cs="Arial"/>
                <w:sz w:val="16"/>
                <w:szCs w:val="24"/>
                <w:lang w:val="tr-TR"/>
              </w:rPr>
              <w:t>473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11,63</w:t>
            </w:r>
          </w:p>
        </w:tc>
      </w:tr>
      <w:tr w:rsidR="0033082D" w:rsidRPr="00682911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cs="Arial"/>
                <w:sz w:val="20"/>
                <w:szCs w:val="24"/>
                <w:lang w:val="tr-TR"/>
              </w:rPr>
            </w:pPr>
            <w:r w:rsidRPr="00F92CF6">
              <w:rPr>
                <w:rFonts w:cs="Arial"/>
                <w:sz w:val="20"/>
                <w:szCs w:val="24"/>
                <w:lang w:val="tr-TR"/>
              </w:rPr>
              <w:t>6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TÜRKİYE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75.</w:t>
            </w:r>
            <w:r w:rsidR="0033082D" w:rsidRPr="00F92CF6">
              <w:rPr>
                <w:rFonts w:ascii="Arial" w:hAnsi="Arial" w:cs="Arial"/>
                <w:sz w:val="16"/>
                <w:szCs w:val="24"/>
                <w:lang w:val="tr-TR"/>
              </w:rPr>
              <w:t>130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18,73</w:t>
            </w:r>
          </w:p>
        </w:tc>
      </w:tr>
      <w:tr w:rsidR="0033082D" w:rsidRPr="00682911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cs="Arial"/>
                <w:sz w:val="20"/>
                <w:szCs w:val="24"/>
                <w:lang w:val="tr-TR"/>
              </w:rPr>
            </w:pPr>
            <w:r w:rsidRPr="00F92CF6">
              <w:rPr>
                <w:rFonts w:cs="Arial"/>
                <w:sz w:val="20"/>
                <w:szCs w:val="24"/>
                <w:lang w:val="tr-TR"/>
              </w:rPr>
              <w:t>7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BREZİLYA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73.</w:t>
            </w:r>
            <w:r w:rsidR="0033082D" w:rsidRPr="00F92CF6">
              <w:rPr>
                <w:rFonts w:ascii="Arial" w:hAnsi="Arial" w:cs="Arial"/>
                <w:sz w:val="16"/>
                <w:szCs w:val="24"/>
                <w:lang w:val="tr-TR"/>
              </w:rPr>
              <w:t>416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7,40</w:t>
            </w:r>
          </w:p>
        </w:tc>
      </w:tr>
      <w:tr w:rsidR="0033082D" w:rsidRPr="00682911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cs="Arial"/>
                <w:sz w:val="20"/>
                <w:szCs w:val="24"/>
                <w:lang w:val="tr-TR"/>
              </w:rPr>
            </w:pPr>
            <w:r w:rsidRPr="00F92CF6">
              <w:rPr>
                <w:rFonts w:cs="Arial"/>
                <w:sz w:val="20"/>
                <w:szCs w:val="24"/>
                <w:lang w:val="tr-TR"/>
              </w:rPr>
              <w:t>8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İRAN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68.</w:t>
            </w:r>
            <w:r w:rsidR="0033082D" w:rsidRPr="00F92CF6">
              <w:rPr>
                <w:rFonts w:ascii="Arial" w:hAnsi="Arial" w:cs="Arial"/>
                <w:sz w:val="16"/>
                <w:szCs w:val="24"/>
                <w:lang w:val="tr-TR"/>
              </w:rPr>
              <w:t>365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9,77</w:t>
            </w:r>
          </w:p>
        </w:tc>
      </w:tr>
      <w:tr w:rsidR="0033082D" w:rsidRPr="00682911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cs="Arial"/>
                <w:sz w:val="20"/>
                <w:szCs w:val="24"/>
                <w:lang w:val="tr-TR"/>
              </w:rPr>
            </w:pPr>
            <w:r w:rsidRPr="00F92CF6">
              <w:rPr>
                <w:rFonts w:cs="Arial"/>
                <w:sz w:val="20"/>
                <w:szCs w:val="24"/>
                <w:lang w:val="tr-TR"/>
              </w:rPr>
              <w:t>9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A937E8" w:rsidP="00441BAE">
            <w:pPr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İNGİLTERE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66.</w:t>
            </w:r>
            <w:r w:rsidR="0033082D" w:rsidRPr="00F92CF6">
              <w:rPr>
                <w:rFonts w:ascii="Arial" w:hAnsi="Arial" w:cs="Arial"/>
                <w:sz w:val="16"/>
                <w:szCs w:val="24"/>
                <w:lang w:val="tr-TR"/>
              </w:rPr>
              <w:t>974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4,21</w:t>
            </w:r>
          </w:p>
        </w:tc>
      </w:tr>
      <w:tr w:rsidR="0033082D" w:rsidRPr="00682911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cs="Arial"/>
                <w:sz w:val="20"/>
                <w:szCs w:val="24"/>
                <w:lang w:val="tr-TR"/>
              </w:rPr>
            </w:pPr>
            <w:r w:rsidRPr="00F92CF6">
              <w:rPr>
                <w:rFonts w:cs="Arial"/>
                <w:sz w:val="20"/>
                <w:szCs w:val="24"/>
                <w:lang w:val="tr-TR"/>
              </w:rPr>
              <w:t>10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ARJANTİN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6"/>
                <w:szCs w:val="24"/>
                <w:lang w:val="tr-TR"/>
              </w:rPr>
            </w:pPr>
            <w:r>
              <w:rPr>
                <w:rFonts w:ascii="Arial" w:hAnsi="Arial" w:cs="Arial"/>
                <w:sz w:val="16"/>
                <w:szCs w:val="24"/>
                <w:lang w:val="tr-TR"/>
              </w:rPr>
              <w:t>57.</w:t>
            </w:r>
            <w:r w:rsidR="0033082D" w:rsidRPr="00F92CF6">
              <w:rPr>
                <w:rFonts w:ascii="Arial" w:hAnsi="Arial" w:cs="Arial"/>
                <w:sz w:val="16"/>
                <w:szCs w:val="24"/>
                <w:lang w:val="tr-TR"/>
              </w:rPr>
              <w:t>711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6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6"/>
                <w:szCs w:val="24"/>
                <w:lang w:val="tr-TR"/>
              </w:rPr>
              <w:t>13,32</w:t>
            </w:r>
          </w:p>
        </w:tc>
      </w:tr>
      <w:tr w:rsidR="0033082D" w:rsidRPr="00F92CF6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11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HİNDİSTAN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8"/>
                <w:szCs w:val="24"/>
                <w:lang w:val="tr-TR"/>
              </w:rPr>
            </w:pPr>
            <w:r>
              <w:rPr>
                <w:rFonts w:ascii="Arial" w:hAnsi="Arial" w:cs="Arial"/>
                <w:sz w:val="18"/>
                <w:szCs w:val="24"/>
                <w:lang w:val="tr-TR"/>
              </w:rPr>
              <w:t>57.</w:t>
            </w:r>
            <w:r w:rsidR="0033082D" w:rsidRPr="00F92CF6">
              <w:rPr>
                <w:rFonts w:ascii="Arial" w:hAnsi="Arial" w:cs="Arial"/>
                <w:sz w:val="18"/>
                <w:szCs w:val="24"/>
                <w:lang w:val="tr-TR"/>
              </w:rPr>
              <w:t>201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3,29</w:t>
            </w:r>
          </w:p>
        </w:tc>
      </w:tr>
      <w:tr w:rsidR="0033082D" w:rsidRPr="00F92CF6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12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GÜNEY KORE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8"/>
                <w:szCs w:val="24"/>
                <w:lang w:val="tr-TR"/>
              </w:rPr>
            </w:pPr>
            <w:r>
              <w:rPr>
                <w:rFonts w:ascii="Arial" w:hAnsi="Arial" w:cs="Arial"/>
                <w:sz w:val="18"/>
                <w:szCs w:val="24"/>
                <w:lang w:val="tr-TR"/>
              </w:rPr>
              <w:t>52.</w:t>
            </w:r>
            <w:r w:rsidR="0033082D" w:rsidRPr="00F92CF6">
              <w:rPr>
                <w:rFonts w:ascii="Arial" w:hAnsi="Arial" w:cs="Arial"/>
                <w:sz w:val="18"/>
                <w:szCs w:val="24"/>
                <w:lang w:val="tr-TR"/>
              </w:rPr>
              <w:t>882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5,97</w:t>
            </w:r>
          </w:p>
        </w:tc>
      </w:tr>
      <w:tr w:rsidR="0033082D" w:rsidRPr="00F92CF6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13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BELÇİKA+LÜKSEMBURG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8"/>
                <w:szCs w:val="24"/>
                <w:lang w:val="tr-TR"/>
              </w:rPr>
            </w:pPr>
            <w:r>
              <w:rPr>
                <w:rFonts w:ascii="Arial" w:hAnsi="Arial" w:cs="Arial"/>
                <w:sz w:val="18"/>
                <w:szCs w:val="24"/>
                <w:lang w:val="tr-TR"/>
              </w:rPr>
              <w:t>50.</w:t>
            </w:r>
            <w:r w:rsidR="0033082D" w:rsidRPr="00F92CF6">
              <w:rPr>
                <w:rFonts w:ascii="Arial" w:hAnsi="Arial" w:cs="Arial"/>
                <w:sz w:val="18"/>
                <w:szCs w:val="24"/>
                <w:lang w:val="tr-TR"/>
              </w:rPr>
              <w:t>313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12,58</w:t>
            </w:r>
          </w:p>
        </w:tc>
      </w:tr>
      <w:tr w:rsidR="0033082D" w:rsidRPr="00F92CF6" w:rsidTr="00722167">
        <w:trPr>
          <w:trHeight w:val="283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14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ÇİN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8"/>
                <w:szCs w:val="24"/>
                <w:lang w:val="tr-TR"/>
              </w:rPr>
            </w:pPr>
            <w:r>
              <w:rPr>
                <w:rFonts w:ascii="Arial" w:hAnsi="Arial" w:cs="Arial"/>
                <w:sz w:val="18"/>
                <w:szCs w:val="24"/>
                <w:lang w:val="tr-TR"/>
              </w:rPr>
              <w:t>35.</w:t>
            </w:r>
            <w:r w:rsidR="0033082D" w:rsidRPr="00F92CF6">
              <w:rPr>
                <w:rFonts w:ascii="Arial" w:hAnsi="Arial" w:cs="Arial"/>
                <w:sz w:val="18"/>
                <w:szCs w:val="24"/>
                <w:lang w:val="tr-TR"/>
              </w:rPr>
              <w:t>647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0,28</w:t>
            </w:r>
          </w:p>
        </w:tc>
      </w:tr>
      <w:tr w:rsidR="0033082D" w:rsidRPr="00F92CF6" w:rsidTr="0040765C">
        <w:trPr>
          <w:trHeight w:val="128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jc w:val="right"/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15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441BAE">
            <w:pPr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FAS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4A6287" w:rsidP="00441BAE">
            <w:pPr>
              <w:jc w:val="right"/>
              <w:rPr>
                <w:rFonts w:ascii="Arial" w:hAnsi="Arial" w:cs="Arial"/>
                <w:sz w:val="18"/>
                <w:szCs w:val="24"/>
                <w:lang w:val="tr-TR"/>
              </w:rPr>
            </w:pPr>
            <w:r>
              <w:rPr>
                <w:rFonts w:ascii="Arial" w:hAnsi="Arial" w:cs="Arial"/>
                <w:sz w:val="18"/>
                <w:szCs w:val="24"/>
                <w:lang w:val="tr-TR"/>
              </w:rPr>
              <w:t>35.</w:t>
            </w:r>
            <w:r w:rsidR="0033082D" w:rsidRPr="00F92CF6">
              <w:rPr>
                <w:rFonts w:ascii="Arial" w:hAnsi="Arial" w:cs="Arial"/>
                <w:sz w:val="18"/>
                <w:szCs w:val="24"/>
                <w:lang w:val="tr-TR"/>
              </w:rPr>
              <w:t>365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3082D" w:rsidRPr="00F92CF6" w:rsidRDefault="0033082D" w:rsidP="00114C6E">
            <w:pPr>
              <w:jc w:val="center"/>
              <w:rPr>
                <w:rFonts w:ascii="Arial" w:hAnsi="Arial" w:cs="Arial"/>
                <w:sz w:val="18"/>
                <w:szCs w:val="24"/>
                <w:lang w:val="tr-TR"/>
              </w:rPr>
            </w:pPr>
            <w:r w:rsidRPr="00F92CF6">
              <w:rPr>
                <w:rFonts w:ascii="Arial" w:hAnsi="Arial" w:cs="Arial"/>
                <w:sz w:val="18"/>
                <w:szCs w:val="24"/>
                <w:lang w:val="tr-TR"/>
              </w:rPr>
              <w:t>41,86</w:t>
            </w:r>
          </w:p>
        </w:tc>
      </w:tr>
      <w:tr w:rsidR="0033082D" w:rsidRPr="00682911" w:rsidTr="00722167">
        <w:trPr>
          <w:trHeight w:val="228"/>
        </w:trPr>
        <w:tc>
          <w:tcPr>
            <w:tcW w:w="47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33082D" w:rsidRPr="00682911" w:rsidRDefault="0033082D" w:rsidP="00441BAE">
            <w:pPr>
              <w:jc w:val="right"/>
              <w:rPr>
                <w:rFonts w:cs="Arial"/>
                <w:szCs w:val="24"/>
                <w:lang w:val="tr-TR"/>
              </w:rPr>
            </w:pPr>
          </w:p>
        </w:tc>
        <w:tc>
          <w:tcPr>
            <w:tcW w:w="361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33082D" w:rsidRPr="00682911" w:rsidRDefault="0033082D" w:rsidP="00441BAE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33082D" w:rsidRPr="00682911" w:rsidRDefault="0033082D" w:rsidP="00441BAE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  <w:tc>
          <w:tcPr>
            <w:tcW w:w="244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:rsidR="0033082D" w:rsidRPr="00682911" w:rsidRDefault="0033082D" w:rsidP="00441BAE">
            <w:pPr>
              <w:rPr>
                <w:rFonts w:ascii="Times New Roman" w:hAnsi="Times New Roman"/>
                <w:sz w:val="20"/>
                <w:lang w:val="tr-TR"/>
              </w:rPr>
            </w:pPr>
          </w:p>
        </w:tc>
      </w:tr>
    </w:tbl>
    <w:p w:rsidR="0033082D" w:rsidRPr="00114C6E" w:rsidRDefault="0033082D" w:rsidP="00722167">
      <w:pPr>
        <w:shd w:val="clear" w:color="auto" w:fill="FFFFFF" w:themeFill="background1"/>
        <w:spacing w:line="360" w:lineRule="auto"/>
        <w:ind w:right="522"/>
        <w:jc w:val="both"/>
        <w:rPr>
          <w:rFonts w:ascii="Arial" w:hAnsi="Arial" w:cs="Arial"/>
          <w:sz w:val="20"/>
        </w:rPr>
      </w:pPr>
    </w:p>
    <w:sectPr w:rsidR="0033082D" w:rsidRPr="00114C6E" w:rsidSect="00FB769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426" w:header="68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DD3" w:rsidRDefault="00956DD3" w:rsidP="0009133B">
      <w:r>
        <w:separator/>
      </w:r>
    </w:p>
  </w:endnote>
  <w:endnote w:type="continuationSeparator" w:id="0">
    <w:p w:rsidR="00956DD3" w:rsidRDefault="00956DD3" w:rsidP="0009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 Bold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adeGothic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76" w:rsidRPr="00E743CD" w:rsidRDefault="00D20676" w:rsidP="00E743CD">
    <w:pPr>
      <w:tabs>
        <w:tab w:val="center" w:pos="4536"/>
        <w:tab w:val="right" w:pos="9072"/>
      </w:tabs>
      <w:rPr>
        <w:rFonts w:ascii="Arial" w:eastAsia="Times New Roman" w:hAnsi="Arial"/>
        <w:bCs/>
        <w:sz w:val="18"/>
        <w:lang w:val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Pr="00FB7690" w:rsidRDefault="00943D44" w:rsidP="00D94A2B">
    <w:pPr>
      <w:pStyle w:val="AltBilgi"/>
      <w:ind w:left="68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Basın İletişimi</w:t>
    </w:r>
    <w:r w:rsidR="00FB7690" w:rsidRPr="00FB7690">
      <w:rPr>
        <w:rFonts w:ascii="Arial" w:hAnsi="Arial" w:cs="Arial"/>
        <w:sz w:val="14"/>
      </w:rPr>
      <w:t xml:space="preserve"> – Fulya ÖZKAN </w:t>
    </w:r>
  </w:p>
  <w:p w:rsidR="00A750CA" w:rsidRPr="00FB7690" w:rsidRDefault="00A750CA" w:rsidP="00D94A2B">
    <w:pPr>
      <w:pStyle w:val="AltBilgi"/>
      <w:ind w:left="680"/>
      <w:jc w:val="center"/>
      <w:rPr>
        <w:rFonts w:ascii="Arial" w:hAnsi="Arial" w:cs="Arial"/>
        <w:sz w:val="14"/>
      </w:rPr>
    </w:pPr>
    <w:proofErr w:type="gramStart"/>
    <w:r>
      <w:rPr>
        <w:rFonts w:ascii="Arial" w:hAnsi="Arial" w:cs="Arial"/>
        <w:sz w:val="14"/>
      </w:rPr>
      <w:t>fulya</w:t>
    </w:r>
    <w:proofErr w:type="gramEnd"/>
    <w:r>
      <w:rPr>
        <w:rFonts w:ascii="Arial" w:hAnsi="Arial" w:cs="Arial"/>
        <w:sz w:val="14"/>
      </w:rPr>
      <w:t>.ozkan@renault.com.tr</w:t>
    </w:r>
  </w:p>
  <w:p w:rsidR="00FB7690" w:rsidRDefault="00956DD3" w:rsidP="00D94A2B">
    <w:pPr>
      <w:pStyle w:val="AltBilgi"/>
      <w:ind w:left="680"/>
      <w:jc w:val="center"/>
      <w:rPr>
        <w:rFonts w:ascii="Arial" w:hAnsi="Arial" w:cs="Arial"/>
        <w:sz w:val="14"/>
      </w:rPr>
    </w:pPr>
    <w:hyperlink r:id="rId1" w:history="1">
      <w:r w:rsidR="00943D44" w:rsidRPr="00AC04A7">
        <w:rPr>
          <w:rStyle w:val="Kpr"/>
          <w:rFonts w:ascii="Arial" w:hAnsi="Arial" w:cs="Arial"/>
          <w:sz w:val="14"/>
        </w:rPr>
        <w:t>www.medyarenault.com</w:t>
      </w:r>
    </w:hyperlink>
  </w:p>
  <w:p w:rsidR="00A804A8" w:rsidRPr="00E0220F" w:rsidRDefault="00A804A8" w:rsidP="00DE3AC0">
    <w:pPr>
      <w:pStyle w:val="AltBilgi"/>
      <w:rPr>
        <w:rFonts w:cs="Arial"/>
        <w:sz w:val="16"/>
      </w:rPr>
    </w:pPr>
  </w:p>
  <w:p w:rsidR="0061377B" w:rsidRDefault="0061377B" w:rsidP="0061377B">
    <w:pPr>
      <w:pStyle w:val="AltBilgi"/>
      <w:rPr>
        <w:sz w:val="16"/>
      </w:rPr>
    </w:pPr>
  </w:p>
  <w:p w:rsidR="0061377B" w:rsidRDefault="0061377B" w:rsidP="000C0E6A">
    <w:pPr>
      <w:pStyle w:val="AltBilgi"/>
      <w:rPr>
        <w:sz w:val="16"/>
      </w:rPr>
    </w:pPr>
  </w:p>
  <w:p w:rsidR="00DE3AC0" w:rsidRPr="00FB7690" w:rsidRDefault="00DE3AC0" w:rsidP="00FB7690">
    <w:pPr>
      <w:pStyle w:val="AltBilgi"/>
      <w:ind w:left="680"/>
      <w:rPr>
        <w:rFonts w:ascii="Arial" w:hAnsi="Arial" w:cs="Arial"/>
        <w:sz w:val="14"/>
      </w:rPr>
    </w:pPr>
  </w:p>
  <w:p w:rsidR="00FB7690" w:rsidRPr="00FB7690" w:rsidRDefault="00FB7690" w:rsidP="00FB7690">
    <w:pPr>
      <w:pStyle w:val="AltBilgi"/>
      <w:ind w:left="680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DD3" w:rsidRDefault="00956DD3" w:rsidP="0009133B">
      <w:r>
        <w:separator/>
      </w:r>
    </w:p>
  </w:footnote>
  <w:footnote w:type="continuationSeparator" w:id="0">
    <w:p w:rsidR="00956DD3" w:rsidRDefault="00956DD3" w:rsidP="0009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61" w:rsidRDefault="00531961" w:rsidP="0009133B">
    <w:pPr>
      <w:pStyle w:val="stBilgi"/>
      <w:tabs>
        <w:tab w:val="center" w:pos="1134"/>
        <w:tab w:val="center" w:pos="1276"/>
        <w:tab w:val="center" w:pos="3119"/>
      </w:tabs>
      <w:ind w:left="-142" w:firstLine="226"/>
      <w:rPr>
        <w:rFonts w:ascii="TradeGothic Bold" w:hAnsi="TradeGothic Bold"/>
        <w:color w:val="3B3C3C"/>
        <w:sz w:val="28"/>
      </w:rPr>
    </w:pPr>
  </w:p>
  <w:p w:rsidR="0009133B" w:rsidRDefault="0009133B" w:rsidP="00752671">
    <w:pPr>
      <w:pStyle w:val="stBilgi"/>
      <w:tabs>
        <w:tab w:val="center" w:pos="1134"/>
        <w:tab w:val="center" w:pos="1276"/>
        <w:tab w:val="center" w:pos="3119"/>
      </w:tabs>
      <w:ind w:left="-142" w:firstLine="226"/>
    </w:pPr>
    <w:r>
      <w:rPr>
        <w:rFonts w:ascii="TradeGothic Bold" w:hAnsi="TradeGothic Bold"/>
        <w:color w:val="3B3C3C"/>
        <w:sz w:val="28"/>
      </w:rPr>
      <w:tab/>
      <w:t xml:space="preserve">      </w:t>
    </w:r>
    <w:r>
      <w:rPr>
        <w:rFonts w:ascii="TradeGothic Bold" w:hAnsi="TradeGothic Bold"/>
        <w:color w:val="3B3C3C"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90" w:rsidRDefault="00FB7690" w:rsidP="00FB7690">
    <w:pPr>
      <w:pStyle w:val="stBilgi"/>
      <w:jc w:val="right"/>
    </w:pPr>
  </w:p>
  <w:p w:rsidR="00FB7690" w:rsidRDefault="00FB7690" w:rsidP="00FB7690">
    <w:pPr>
      <w:pStyle w:val="stBilgi"/>
      <w:jc w:val="right"/>
    </w:pPr>
  </w:p>
  <w:p w:rsidR="00752671" w:rsidRPr="00FB7690" w:rsidRDefault="00FB7690" w:rsidP="00FB7690">
    <w:pPr>
      <w:pStyle w:val="stBilgi"/>
      <w:jc w:val="right"/>
    </w:pPr>
    <w:r>
      <w:rPr>
        <w:noProof/>
        <w:lang w:eastAsia="tr-TR"/>
      </w:rPr>
      <w:drawing>
        <wp:inline distT="0" distB="0" distL="0" distR="0" wp14:anchorId="4E35132F" wp14:editId="652DBF06">
          <wp:extent cx="1426845" cy="433070"/>
          <wp:effectExtent l="0" t="0" r="190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10631" w:rsidRDefault="00410631" w:rsidP="00D94A2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2C4"/>
    <w:multiLevelType w:val="hybridMultilevel"/>
    <w:tmpl w:val="F8069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21712"/>
    <w:multiLevelType w:val="hybridMultilevel"/>
    <w:tmpl w:val="61E043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28EB"/>
    <w:multiLevelType w:val="hybridMultilevel"/>
    <w:tmpl w:val="65E44484"/>
    <w:lvl w:ilvl="0" w:tplc="EA2C4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698"/>
    <w:multiLevelType w:val="hybridMultilevel"/>
    <w:tmpl w:val="5A50025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F2C5DE9"/>
    <w:multiLevelType w:val="hybridMultilevel"/>
    <w:tmpl w:val="EAC6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F2F3A"/>
    <w:multiLevelType w:val="hybridMultilevel"/>
    <w:tmpl w:val="EFA05724"/>
    <w:lvl w:ilvl="0" w:tplc="040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2A03168"/>
    <w:multiLevelType w:val="hybridMultilevel"/>
    <w:tmpl w:val="20AA80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17E1B88"/>
    <w:multiLevelType w:val="hybridMultilevel"/>
    <w:tmpl w:val="E9C60082"/>
    <w:lvl w:ilvl="0" w:tplc="1CE8380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65C66"/>
    <w:multiLevelType w:val="hybridMultilevel"/>
    <w:tmpl w:val="DA58EEB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987479E"/>
    <w:multiLevelType w:val="hybridMultilevel"/>
    <w:tmpl w:val="8AAA2A24"/>
    <w:lvl w:ilvl="0" w:tplc="0409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1" w:hanging="360"/>
      </w:pPr>
      <w:rPr>
        <w:rFonts w:ascii="Wingdings" w:hAnsi="Wingdings" w:hint="default"/>
      </w:rPr>
    </w:lvl>
  </w:abstractNum>
  <w:abstractNum w:abstractNumId="10" w15:restartNumberingAfterBreak="0">
    <w:nsid w:val="5A41338B"/>
    <w:multiLevelType w:val="hybridMultilevel"/>
    <w:tmpl w:val="1D883BEA"/>
    <w:lvl w:ilvl="0" w:tplc="040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1" w15:restartNumberingAfterBreak="0">
    <w:nsid w:val="5BE47152"/>
    <w:multiLevelType w:val="hybridMultilevel"/>
    <w:tmpl w:val="3892C4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5E302809"/>
    <w:multiLevelType w:val="hybridMultilevel"/>
    <w:tmpl w:val="2B48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0229D"/>
    <w:multiLevelType w:val="hybridMultilevel"/>
    <w:tmpl w:val="2EFE4E9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CE13878"/>
    <w:multiLevelType w:val="hybridMultilevel"/>
    <w:tmpl w:val="0BB450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0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C1"/>
    <w:rsid w:val="000005A3"/>
    <w:rsid w:val="000010E4"/>
    <w:rsid w:val="00014C65"/>
    <w:rsid w:val="00017CAC"/>
    <w:rsid w:val="0003382D"/>
    <w:rsid w:val="000431FF"/>
    <w:rsid w:val="00046DE5"/>
    <w:rsid w:val="00047FD7"/>
    <w:rsid w:val="00054408"/>
    <w:rsid w:val="0007192E"/>
    <w:rsid w:val="00073E08"/>
    <w:rsid w:val="000766D2"/>
    <w:rsid w:val="00085C83"/>
    <w:rsid w:val="00086833"/>
    <w:rsid w:val="0009133B"/>
    <w:rsid w:val="000938B6"/>
    <w:rsid w:val="00093DF3"/>
    <w:rsid w:val="000952A9"/>
    <w:rsid w:val="000A185F"/>
    <w:rsid w:val="000A4884"/>
    <w:rsid w:val="000A7C69"/>
    <w:rsid w:val="000B22BF"/>
    <w:rsid w:val="000B517A"/>
    <w:rsid w:val="000B5371"/>
    <w:rsid w:val="000B7AD9"/>
    <w:rsid w:val="000C0E6A"/>
    <w:rsid w:val="000C179C"/>
    <w:rsid w:val="000C6AC1"/>
    <w:rsid w:val="000D07EB"/>
    <w:rsid w:val="000D2571"/>
    <w:rsid w:val="000F22B5"/>
    <w:rsid w:val="000F7910"/>
    <w:rsid w:val="00106BFD"/>
    <w:rsid w:val="00107CA1"/>
    <w:rsid w:val="001109A9"/>
    <w:rsid w:val="00114C6E"/>
    <w:rsid w:val="00117F59"/>
    <w:rsid w:val="00123A47"/>
    <w:rsid w:val="00140469"/>
    <w:rsid w:val="00147163"/>
    <w:rsid w:val="00154C62"/>
    <w:rsid w:val="0015658D"/>
    <w:rsid w:val="001616A6"/>
    <w:rsid w:val="0016631B"/>
    <w:rsid w:val="00182F47"/>
    <w:rsid w:val="001900C6"/>
    <w:rsid w:val="001A0026"/>
    <w:rsid w:val="001A0AB6"/>
    <w:rsid w:val="001A1076"/>
    <w:rsid w:val="001A4212"/>
    <w:rsid w:val="001A61C3"/>
    <w:rsid w:val="001B3A36"/>
    <w:rsid w:val="001B3DE7"/>
    <w:rsid w:val="001B541B"/>
    <w:rsid w:val="001B756C"/>
    <w:rsid w:val="001C2F3E"/>
    <w:rsid w:val="001E0E88"/>
    <w:rsid w:val="001E1F05"/>
    <w:rsid w:val="001F4493"/>
    <w:rsid w:val="00201F72"/>
    <w:rsid w:val="00202FD7"/>
    <w:rsid w:val="00203D47"/>
    <w:rsid w:val="00215B49"/>
    <w:rsid w:val="00224FC0"/>
    <w:rsid w:val="00225DDD"/>
    <w:rsid w:val="00235C0C"/>
    <w:rsid w:val="00240605"/>
    <w:rsid w:val="002461B5"/>
    <w:rsid w:val="0025724C"/>
    <w:rsid w:val="00267DCE"/>
    <w:rsid w:val="002707DD"/>
    <w:rsid w:val="0027473C"/>
    <w:rsid w:val="002754E8"/>
    <w:rsid w:val="002969FB"/>
    <w:rsid w:val="002A7B5A"/>
    <w:rsid w:val="002C0754"/>
    <w:rsid w:val="002C1079"/>
    <w:rsid w:val="002C5FAD"/>
    <w:rsid w:val="002C710B"/>
    <w:rsid w:val="002D09C7"/>
    <w:rsid w:val="002E6FBC"/>
    <w:rsid w:val="002E7D0F"/>
    <w:rsid w:val="002F2FD8"/>
    <w:rsid w:val="00300C28"/>
    <w:rsid w:val="00302432"/>
    <w:rsid w:val="00304E3F"/>
    <w:rsid w:val="003063FE"/>
    <w:rsid w:val="0033082D"/>
    <w:rsid w:val="00336EFD"/>
    <w:rsid w:val="00357513"/>
    <w:rsid w:val="003635B4"/>
    <w:rsid w:val="00367F09"/>
    <w:rsid w:val="00370B1C"/>
    <w:rsid w:val="00377910"/>
    <w:rsid w:val="00380D13"/>
    <w:rsid w:val="00383E22"/>
    <w:rsid w:val="003861B2"/>
    <w:rsid w:val="00386CF4"/>
    <w:rsid w:val="00393023"/>
    <w:rsid w:val="003A1037"/>
    <w:rsid w:val="003A1B4F"/>
    <w:rsid w:val="003B01E3"/>
    <w:rsid w:val="003B3897"/>
    <w:rsid w:val="003C7810"/>
    <w:rsid w:val="003D1BC7"/>
    <w:rsid w:val="003E20DC"/>
    <w:rsid w:val="003F2887"/>
    <w:rsid w:val="00402525"/>
    <w:rsid w:val="00406DE8"/>
    <w:rsid w:val="0040765C"/>
    <w:rsid w:val="00410631"/>
    <w:rsid w:val="00410A39"/>
    <w:rsid w:val="00412A9B"/>
    <w:rsid w:val="00415B17"/>
    <w:rsid w:val="00425F88"/>
    <w:rsid w:val="004359FE"/>
    <w:rsid w:val="00453170"/>
    <w:rsid w:val="004559A8"/>
    <w:rsid w:val="0046157D"/>
    <w:rsid w:val="00464F05"/>
    <w:rsid w:val="0047039A"/>
    <w:rsid w:val="00475A37"/>
    <w:rsid w:val="0047650B"/>
    <w:rsid w:val="0048264A"/>
    <w:rsid w:val="0048431E"/>
    <w:rsid w:val="00485894"/>
    <w:rsid w:val="00487BA1"/>
    <w:rsid w:val="0049353F"/>
    <w:rsid w:val="00496C12"/>
    <w:rsid w:val="004A6287"/>
    <w:rsid w:val="004B579A"/>
    <w:rsid w:val="004C019E"/>
    <w:rsid w:val="004C2E88"/>
    <w:rsid w:val="004C4676"/>
    <w:rsid w:val="004C635F"/>
    <w:rsid w:val="004F1874"/>
    <w:rsid w:val="004F31BC"/>
    <w:rsid w:val="004F35D4"/>
    <w:rsid w:val="004F790A"/>
    <w:rsid w:val="0050133F"/>
    <w:rsid w:val="00504749"/>
    <w:rsid w:val="0050568A"/>
    <w:rsid w:val="0050694E"/>
    <w:rsid w:val="00515D5F"/>
    <w:rsid w:val="00522A16"/>
    <w:rsid w:val="00530F73"/>
    <w:rsid w:val="00531961"/>
    <w:rsid w:val="00533270"/>
    <w:rsid w:val="00572D2B"/>
    <w:rsid w:val="005832AB"/>
    <w:rsid w:val="005837CF"/>
    <w:rsid w:val="005A3301"/>
    <w:rsid w:val="005A657C"/>
    <w:rsid w:val="005B1583"/>
    <w:rsid w:val="005B78B9"/>
    <w:rsid w:val="005B7AA4"/>
    <w:rsid w:val="005B7DAE"/>
    <w:rsid w:val="005C4789"/>
    <w:rsid w:val="005C5C7A"/>
    <w:rsid w:val="005C7E3C"/>
    <w:rsid w:val="005D7FC0"/>
    <w:rsid w:val="005E76FF"/>
    <w:rsid w:val="005F6B94"/>
    <w:rsid w:val="005F7072"/>
    <w:rsid w:val="00603BD1"/>
    <w:rsid w:val="00611C6B"/>
    <w:rsid w:val="0061377B"/>
    <w:rsid w:val="00617E19"/>
    <w:rsid w:val="00620E21"/>
    <w:rsid w:val="00622625"/>
    <w:rsid w:val="00631721"/>
    <w:rsid w:val="00637340"/>
    <w:rsid w:val="00641FA0"/>
    <w:rsid w:val="00653EBE"/>
    <w:rsid w:val="00656F61"/>
    <w:rsid w:val="0065704F"/>
    <w:rsid w:val="006618DB"/>
    <w:rsid w:val="006656D5"/>
    <w:rsid w:val="0068515C"/>
    <w:rsid w:val="006A2ED2"/>
    <w:rsid w:val="006A438E"/>
    <w:rsid w:val="006A53B1"/>
    <w:rsid w:val="006A7452"/>
    <w:rsid w:val="006B08FA"/>
    <w:rsid w:val="006B7876"/>
    <w:rsid w:val="006C2A5E"/>
    <w:rsid w:val="006C54EA"/>
    <w:rsid w:val="006C6568"/>
    <w:rsid w:val="006D3F56"/>
    <w:rsid w:val="006E1E25"/>
    <w:rsid w:val="006E6E3F"/>
    <w:rsid w:val="006F372D"/>
    <w:rsid w:val="007027B0"/>
    <w:rsid w:val="00704511"/>
    <w:rsid w:val="00707235"/>
    <w:rsid w:val="00710213"/>
    <w:rsid w:val="00712721"/>
    <w:rsid w:val="00717A79"/>
    <w:rsid w:val="00722167"/>
    <w:rsid w:val="00727D5F"/>
    <w:rsid w:val="00744744"/>
    <w:rsid w:val="00745375"/>
    <w:rsid w:val="00752671"/>
    <w:rsid w:val="0075374E"/>
    <w:rsid w:val="00763DAA"/>
    <w:rsid w:val="0076588F"/>
    <w:rsid w:val="0076674E"/>
    <w:rsid w:val="00773F2F"/>
    <w:rsid w:val="00774C4F"/>
    <w:rsid w:val="007762AE"/>
    <w:rsid w:val="00781216"/>
    <w:rsid w:val="0078189B"/>
    <w:rsid w:val="00784229"/>
    <w:rsid w:val="00784C60"/>
    <w:rsid w:val="00787C76"/>
    <w:rsid w:val="00791AFD"/>
    <w:rsid w:val="007B2DFC"/>
    <w:rsid w:val="007C1A19"/>
    <w:rsid w:val="007D0A2D"/>
    <w:rsid w:val="007E1D40"/>
    <w:rsid w:val="007E2E0F"/>
    <w:rsid w:val="008054A3"/>
    <w:rsid w:val="00806CD0"/>
    <w:rsid w:val="008132E8"/>
    <w:rsid w:val="00816847"/>
    <w:rsid w:val="00834BAC"/>
    <w:rsid w:val="008436DD"/>
    <w:rsid w:val="00846559"/>
    <w:rsid w:val="00851C05"/>
    <w:rsid w:val="00852E51"/>
    <w:rsid w:val="00855D65"/>
    <w:rsid w:val="0085637A"/>
    <w:rsid w:val="00867DCE"/>
    <w:rsid w:val="00873443"/>
    <w:rsid w:val="00874263"/>
    <w:rsid w:val="008848BE"/>
    <w:rsid w:val="00890996"/>
    <w:rsid w:val="008A5270"/>
    <w:rsid w:val="008C5691"/>
    <w:rsid w:val="008D6B17"/>
    <w:rsid w:val="008E04DA"/>
    <w:rsid w:val="008F2D09"/>
    <w:rsid w:val="008F4297"/>
    <w:rsid w:val="00903903"/>
    <w:rsid w:val="00905440"/>
    <w:rsid w:val="00913B60"/>
    <w:rsid w:val="00916B78"/>
    <w:rsid w:val="009229F1"/>
    <w:rsid w:val="00923F92"/>
    <w:rsid w:val="009277DD"/>
    <w:rsid w:val="0093695D"/>
    <w:rsid w:val="00943705"/>
    <w:rsid w:val="00943D44"/>
    <w:rsid w:val="00952A0B"/>
    <w:rsid w:val="00956A9B"/>
    <w:rsid w:val="00956DD3"/>
    <w:rsid w:val="00962462"/>
    <w:rsid w:val="009635BB"/>
    <w:rsid w:val="00981479"/>
    <w:rsid w:val="009850C9"/>
    <w:rsid w:val="009A4C1A"/>
    <w:rsid w:val="009B5D53"/>
    <w:rsid w:val="009B6420"/>
    <w:rsid w:val="009D0337"/>
    <w:rsid w:val="009D261F"/>
    <w:rsid w:val="009D482A"/>
    <w:rsid w:val="009E6743"/>
    <w:rsid w:val="009F2168"/>
    <w:rsid w:val="009F45DA"/>
    <w:rsid w:val="00A0726F"/>
    <w:rsid w:val="00A26B0F"/>
    <w:rsid w:val="00A325B8"/>
    <w:rsid w:val="00A45027"/>
    <w:rsid w:val="00A51818"/>
    <w:rsid w:val="00A51CAB"/>
    <w:rsid w:val="00A55012"/>
    <w:rsid w:val="00A554F0"/>
    <w:rsid w:val="00A55E66"/>
    <w:rsid w:val="00A56309"/>
    <w:rsid w:val="00A57464"/>
    <w:rsid w:val="00A614DC"/>
    <w:rsid w:val="00A67FCB"/>
    <w:rsid w:val="00A71D26"/>
    <w:rsid w:val="00A732B4"/>
    <w:rsid w:val="00A750CA"/>
    <w:rsid w:val="00A75D8B"/>
    <w:rsid w:val="00A804A8"/>
    <w:rsid w:val="00A818C9"/>
    <w:rsid w:val="00A937E8"/>
    <w:rsid w:val="00A948A4"/>
    <w:rsid w:val="00A9521A"/>
    <w:rsid w:val="00AA6BB4"/>
    <w:rsid w:val="00AC3350"/>
    <w:rsid w:val="00AD66DF"/>
    <w:rsid w:val="00AE5F81"/>
    <w:rsid w:val="00AF0B61"/>
    <w:rsid w:val="00B20E8C"/>
    <w:rsid w:val="00B20FFF"/>
    <w:rsid w:val="00B326D6"/>
    <w:rsid w:val="00B465CD"/>
    <w:rsid w:val="00B51DDA"/>
    <w:rsid w:val="00B52E87"/>
    <w:rsid w:val="00B5415E"/>
    <w:rsid w:val="00B55102"/>
    <w:rsid w:val="00B60820"/>
    <w:rsid w:val="00B67D52"/>
    <w:rsid w:val="00B70314"/>
    <w:rsid w:val="00B73414"/>
    <w:rsid w:val="00B75630"/>
    <w:rsid w:val="00B92916"/>
    <w:rsid w:val="00BA07BB"/>
    <w:rsid w:val="00BB73E6"/>
    <w:rsid w:val="00BC4F8E"/>
    <w:rsid w:val="00BC5D5D"/>
    <w:rsid w:val="00BD1901"/>
    <w:rsid w:val="00BD4367"/>
    <w:rsid w:val="00BE0095"/>
    <w:rsid w:val="00C029B7"/>
    <w:rsid w:val="00C26B20"/>
    <w:rsid w:val="00C27C03"/>
    <w:rsid w:val="00C31711"/>
    <w:rsid w:val="00C3181C"/>
    <w:rsid w:val="00C3416A"/>
    <w:rsid w:val="00C34D74"/>
    <w:rsid w:val="00C62CEF"/>
    <w:rsid w:val="00C70F4E"/>
    <w:rsid w:val="00C72828"/>
    <w:rsid w:val="00C80F7B"/>
    <w:rsid w:val="00C8111A"/>
    <w:rsid w:val="00C913F5"/>
    <w:rsid w:val="00CA0F77"/>
    <w:rsid w:val="00CB1313"/>
    <w:rsid w:val="00CB53C1"/>
    <w:rsid w:val="00CD1B7D"/>
    <w:rsid w:val="00CD624B"/>
    <w:rsid w:val="00CD7762"/>
    <w:rsid w:val="00CE0F44"/>
    <w:rsid w:val="00CE1F0B"/>
    <w:rsid w:val="00CE345F"/>
    <w:rsid w:val="00CE734C"/>
    <w:rsid w:val="00D018DE"/>
    <w:rsid w:val="00D01CC2"/>
    <w:rsid w:val="00D05F9F"/>
    <w:rsid w:val="00D107D5"/>
    <w:rsid w:val="00D12507"/>
    <w:rsid w:val="00D15510"/>
    <w:rsid w:val="00D20676"/>
    <w:rsid w:val="00D23D39"/>
    <w:rsid w:val="00D25FB4"/>
    <w:rsid w:val="00D2635B"/>
    <w:rsid w:val="00D31E8D"/>
    <w:rsid w:val="00D33F24"/>
    <w:rsid w:val="00D376F8"/>
    <w:rsid w:val="00D6181F"/>
    <w:rsid w:val="00D61CD0"/>
    <w:rsid w:val="00D70712"/>
    <w:rsid w:val="00D70C9B"/>
    <w:rsid w:val="00D726CA"/>
    <w:rsid w:val="00D806AF"/>
    <w:rsid w:val="00D91509"/>
    <w:rsid w:val="00D94A2B"/>
    <w:rsid w:val="00DA39BE"/>
    <w:rsid w:val="00DB1D31"/>
    <w:rsid w:val="00DB2E6C"/>
    <w:rsid w:val="00DB5A96"/>
    <w:rsid w:val="00DD10B3"/>
    <w:rsid w:val="00DE3290"/>
    <w:rsid w:val="00DE3AC0"/>
    <w:rsid w:val="00DE3BCE"/>
    <w:rsid w:val="00DF1CF8"/>
    <w:rsid w:val="00E0004E"/>
    <w:rsid w:val="00E02083"/>
    <w:rsid w:val="00E0220F"/>
    <w:rsid w:val="00E04B57"/>
    <w:rsid w:val="00E110E5"/>
    <w:rsid w:val="00E14569"/>
    <w:rsid w:val="00E25364"/>
    <w:rsid w:val="00E255A7"/>
    <w:rsid w:val="00E26113"/>
    <w:rsid w:val="00E400C1"/>
    <w:rsid w:val="00E41C11"/>
    <w:rsid w:val="00E4324D"/>
    <w:rsid w:val="00E47767"/>
    <w:rsid w:val="00E4778A"/>
    <w:rsid w:val="00E47DAE"/>
    <w:rsid w:val="00E543F4"/>
    <w:rsid w:val="00E743CD"/>
    <w:rsid w:val="00E76DAD"/>
    <w:rsid w:val="00E85E08"/>
    <w:rsid w:val="00E8641D"/>
    <w:rsid w:val="00E90BDA"/>
    <w:rsid w:val="00E96A04"/>
    <w:rsid w:val="00EA0C80"/>
    <w:rsid w:val="00EB2DAA"/>
    <w:rsid w:val="00EB2EB2"/>
    <w:rsid w:val="00EC2720"/>
    <w:rsid w:val="00ED7F53"/>
    <w:rsid w:val="00EE28F8"/>
    <w:rsid w:val="00EE5A42"/>
    <w:rsid w:val="00EF5DDC"/>
    <w:rsid w:val="00F02C43"/>
    <w:rsid w:val="00F11105"/>
    <w:rsid w:val="00F12EFE"/>
    <w:rsid w:val="00F15951"/>
    <w:rsid w:val="00F31B54"/>
    <w:rsid w:val="00F35B87"/>
    <w:rsid w:val="00F41CFE"/>
    <w:rsid w:val="00F50973"/>
    <w:rsid w:val="00F52F3F"/>
    <w:rsid w:val="00F55AFF"/>
    <w:rsid w:val="00F818D9"/>
    <w:rsid w:val="00F9195F"/>
    <w:rsid w:val="00F92CF6"/>
    <w:rsid w:val="00F9486C"/>
    <w:rsid w:val="00F95BA5"/>
    <w:rsid w:val="00FA3DF3"/>
    <w:rsid w:val="00FB0008"/>
    <w:rsid w:val="00FB7690"/>
    <w:rsid w:val="00FC2BF0"/>
    <w:rsid w:val="00FD1D3A"/>
    <w:rsid w:val="00FE534D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5D414"/>
  <w15:docId w15:val="{0A23B1A1-AA67-44E7-9E43-07DA56DC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A3"/>
    <w:pPr>
      <w:spacing w:after="0" w:line="240" w:lineRule="auto"/>
    </w:pPr>
    <w:rPr>
      <w:rFonts w:ascii="Times" w:eastAsia="Times" w:hAnsi="Times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5B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styleId="Kpr">
    <w:name w:val="Hyperlink"/>
    <w:basedOn w:val="VarsaylanParagrafYazTipi"/>
    <w:uiPriority w:val="99"/>
    <w:unhideWhenUsed/>
    <w:rsid w:val="00C3416A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0C1"/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00C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9133B"/>
  </w:style>
  <w:style w:type="paragraph" w:styleId="AltBilgi">
    <w:name w:val="footer"/>
    <w:basedOn w:val="Normal"/>
    <w:link w:val="AltBilgiChar"/>
    <w:uiPriority w:val="99"/>
    <w:unhideWhenUsed/>
    <w:rsid w:val="0009133B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9133B"/>
  </w:style>
  <w:style w:type="paragraph" w:styleId="GvdeMetni">
    <w:name w:val="Body Text"/>
    <w:basedOn w:val="Normal"/>
    <w:link w:val="GvdeMetniChar"/>
    <w:rsid w:val="0009133B"/>
    <w:pPr>
      <w:widowControl w:val="0"/>
      <w:autoSpaceDE w:val="0"/>
      <w:autoSpaceDN w:val="0"/>
      <w:adjustRightInd w:val="0"/>
    </w:pPr>
    <w:rPr>
      <w:rFonts w:ascii="HelveticaNeue BoldCond" w:eastAsia="Times New Roman" w:hAnsi="HelveticaNeue BoldCond"/>
      <w:b/>
      <w:sz w:val="36"/>
      <w:lang w:eastAsia="fr-FR"/>
    </w:rPr>
  </w:style>
  <w:style w:type="character" w:customStyle="1" w:styleId="GvdeMetniChar">
    <w:name w:val="Gövde Metni Char"/>
    <w:basedOn w:val="VarsaylanParagrafYazTipi"/>
    <w:link w:val="GvdeMetni"/>
    <w:rsid w:val="0009133B"/>
    <w:rPr>
      <w:rFonts w:ascii="HelveticaNeue BoldCond" w:eastAsia="Times New Roman" w:hAnsi="HelveticaNeue BoldCond" w:cs="Times New Roman"/>
      <w:b/>
      <w:sz w:val="36"/>
      <w:szCs w:val="20"/>
      <w:lang w:val="fr-FR" w:eastAsia="fr-FR"/>
    </w:rPr>
  </w:style>
  <w:style w:type="paragraph" w:styleId="DipnotMetni">
    <w:name w:val="footnote text"/>
    <w:basedOn w:val="Normal"/>
    <w:link w:val="DipnotMetniChar"/>
    <w:rsid w:val="0009133B"/>
    <w:rPr>
      <w:rFonts w:ascii="Times New Roman" w:eastAsia="Times New Roman" w:hAnsi="Times New Roman"/>
      <w:sz w:val="20"/>
      <w:lang w:val="en-US"/>
    </w:rPr>
  </w:style>
  <w:style w:type="character" w:customStyle="1" w:styleId="DipnotMetniChar">
    <w:name w:val="Dipnot Metni Char"/>
    <w:basedOn w:val="VarsaylanParagrafYazTipi"/>
    <w:link w:val="DipnotMetni"/>
    <w:rsid w:val="0009133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rsid w:val="0009133B"/>
    <w:rPr>
      <w:vertAlign w:val="superscript"/>
    </w:rPr>
  </w:style>
  <w:style w:type="paragraph" w:customStyle="1" w:styleId="Pieddepagecom">
    <w:name w:val="Pied de page com"/>
    <w:basedOn w:val="Normal"/>
    <w:rsid w:val="000952A9"/>
    <w:pPr>
      <w:snapToGrid w:val="0"/>
      <w:spacing w:before="60"/>
      <w:ind w:left="1140"/>
      <w:jc w:val="both"/>
    </w:pPr>
    <w:rPr>
      <w:rFonts w:ascii="Arial" w:eastAsia="MS Mincho" w:hAnsi="Arial"/>
      <w:noProof/>
      <w:sz w:val="20"/>
      <w:szCs w:val="24"/>
      <w:lang w:eastAsia="ja-JP"/>
    </w:rPr>
  </w:style>
  <w:style w:type="paragraph" w:styleId="DzMetin">
    <w:name w:val="Plain Text"/>
    <w:basedOn w:val="Normal"/>
    <w:link w:val="DzMetinChar"/>
    <w:uiPriority w:val="99"/>
    <w:semiHidden/>
    <w:unhideWhenUsed/>
    <w:rsid w:val="00E4324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4324D"/>
    <w:rPr>
      <w:rFonts w:ascii="Calibri" w:hAnsi="Calibri" w:cs="Calibri"/>
      <w:lang w:val="en-US"/>
    </w:rPr>
  </w:style>
  <w:style w:type="character" w:styleId="Gl">
    <w:name w:val="Strong"/>
    <w:basedOn w:val="VarsaylanParagrafYazTipi"/>
    <w:uiPriority w:val="22"/>
    <w:qFormat/>
    <w:rsid w:val="00805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yarenaul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B8CD-00C9-4952-901F-E86E2D21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Burak DEMIRTAŞ</dc:creator>
  <cp:lastModifiedBy>Enes BATTAL</cp:lastModifiedBy>
  <cp:revision>19</cp:revision>
  <cp:lastPrinted>2017-07-06T10:42:00Z</cp:lastPrinted>
  <dcterms:created xsi:type="dcterms:W3CDTF">2017-07-17T14:14:00Z</dcterms:created>
  <dcterms:modified xsi:type="dcterms:W3CDTF">2017-07-18T11:17:00Z</dcterms:modified>
</cp:coreProperties>
</file>