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BA" w:rsidRPr="00461C2B" w:rsidRDefault="00461C2B" w:rsidP="00C957A6">
      <w:pPr>
        <w:spacing w:before="29" w:after="0" w:line="240" w:lineRule="auto"/>
        <w:ind w:right="51"/>
        <w:jc w:val="both"/>
        <w:rPr>
          <w:rFonts w:ascii="Arial" w:eastAsia="Arial" w:hAnsi="Arial" w:cs="Arial"/>
          <w:sz w:val="20"/>
          <w:szCs w:val="20"/>
          <w:lang w:val="tr-TR"/>
        </w:rPr>
      </w:pPr>
      <w:r w:rsidRPr="00461C2B">
        <w:rPr>
          <w:rFonts w:ascii="Arial" w:eastAsia="Arial" w:hAnsi="Arial" w:cs="Arial"/>
          <w:b/>
          <w:bCs/>
          <w:sz w:val="24"/>
          <w:szCs w:val="24"/>
          <w:lang w:val="tr-TR"/>
        </w:rPr>
        <w:t>BASIN BÜLTENİ</w:t>
      </w:r>
      <w:r w:rsidR="00780DCB" w:rsidRPr="00461C2B">
        <w:rPr>
          <w:rFonts w:ascii="Arial" w:eastAsia="Arial" w:hAnsi="Arial" w:cs="Arial"/>
          <w:b/>
          <w:bCs/>
          <w:sz w:val="24"/>
          <w:szCs w:val="24"/>
          <w:lang w:val="tr-TR"/>
        </w:rPr>
        <w:t xml:space="preserve">                                               </w:t>
      </w:r>
      <w:r w:rsidR="00C957A6" w:rsidRPr="00461C2B">
        <w:rPr>
          <w:rFonts w:ascii="Arial" w:eastAsia="Arial" w:hAnsi="Arial" w:cs="Arial"/>
          <w:b/>
          <w:bCs/>
          <w:sz w:val="24"/>
          <w:szCs w:val="24"/>
          <w:lang w:val="tr-TR"/>
        </w:rPr>
        <w:t xml:space="preserve">                       </w:t>
      </w:r>
      <w:r w:rsidR="004D5B39" w:rsidRPr="00461C2B">
        <w:rPr>
          <w:rFonts w:ascii="Arial" w:eastAsia="Arial" w:hAnsi="Arial" w:cs="Arial"/>
          <w:b/>
          <w:bCs/>
          <w:sz w:val="24"/>
          <w:szCs w:val="24"/>
          <w:lang w:val="tr-TR"/>
        </w:rPr>
        <w:t xml:space="preserve">               </w:t>
      </w:r>
      <w:r w:rsidR="004D5B39" w:rsidRPr="00461C2B">
        <w:rPr>
          <w:rFonts w:ascii="Arial" w:eastAsia="Arial" w:hAnsi="Arial" w:cs="Arial"/>
          <w:position w:val="3"/>
          <w:sz w:val="20"/>
          <w:szCs w:val="20"/>
          <w:lang w:val="tr-TR"/>
        </w:rPr>
        <w:t>2</w:t>
      </w:r>
      <w:r w:rsidR="00E12A6B">
        <w:rPr>
          <w:rFonts w:ascii="Arial" w:eastAsia="Arial" w:hAnsi="Arial" w:cs="Arial"/>
          <w:position w:val="3"/>
          <w:sz w:val="20"/>
          <w:szCs w:val="20"/>
          <w:lang w:val="tr-TR"/>
        </w:rPr>
        <w:t>6</w:t>
      </w:r>
      <w:r w:rsidRPr="00461C2B">
        <w:rPr>
          <w:rFonts w:ascii="Arial" w:eastAsia="Arial" w:hAnsi="Arial" w:cs="Arial"/>
          <w:position w:val="3"/>
          <w:sz w:val="20"/>
          <w:szCs w:val="20"/>
          <w:lang w:val="tr-TR"/>
        </w:rPr>
        <w:t xml:space="preserve"> Nisan</w:t>
      </w:r>
      <w:r w:rsidR="004D5B39" w:rsidRPr="00461C2B">
        <w:rPr>
          <w:rFonts w:ascii="Arial" w:eastAsia="Arial" w:hAnsi="Arial" w:cs="Arial"/>
          <w:position w:val="3"/>
          <w:sz w:val="20"/>
          <w:szCs w:val="20"/>
          <w:lang w:val="tr-TR"/>
        </w:rPr>
        <w:t xml:space="preserve"> </w:t>
      </w:r>
      <w:r w:rsidR="00780DCB" w:rsidRPr="00461C2B">
        <w:rPr>
          <w:rFonts w:ascii="Arial" w:eastAsia="Arial" w:hAnsi="Arial" w:cs="Arial"/>
          <w:position w:val="3"/>
          <w:sz w:val="20"/>
          <w:szCs w:val="20"/>
          <w:lang w:val="tr-TR"/>
        </w:rPr>
        <w:t>201</w:t>
      </w:r>
      <w:r w:rsidR="004E7AB3" w:rsidRPr="00461C2B">
        <w:rPr>
          <w:rFonts w:ascii="Arial" w:eastAsia="Arial" w:hAnsi="Arial" w:cs="Arial"/>
          <w:position w:val="3"/>
          <w:sz w:val="20"/>
          <w:szCs w:val="20"/>
          <w:lang w:val="tr-TR"/>
        </w:rPr>
        <w:t>6</w:t>
      </w:r>
    </w:p>
    <w:p w:rsidR="00296DBA" w:rsidRPr="00461C2B" w:rsidRDefault="00296DBA" w:rsidP="00C957A6">
      <w:pPr>
        <w:spacing w:after="0" w:line="200" w:lineRule="exact"/>
        <w:rPr>
          <w:sz w:val="20"/>
          <w:szCs w:val="20"/>
          <w:lang w:val="tr-TR"/>
        </w:rPr>
      </w:pPr>
    </w:p>
    <w:p w:rsidR="00296DBA" w:rsidRPr="00461C2B" w:rsidRDefault="00296DBA" w:rsidP="00C957A6">
      <w:pPr>
        <w:spacing w:after="0" w:line="200" w:lineRule="exact"/>
        <w:rPr>
          <w:sz w:val="20"/>
          <w:szCs w:val="20"/>
          <w:lang w:val="tr-TR"/>
        </w:rPr>
      </w:pPr>
    </w:p>
    <w:p w:rsidR="00654A55" w:rsidRPr="002D2478" w:rsidRDefault="00197CDC" w:rsidP="00197CDC">
      <w:pPr>
        <w:shd w:val="clear" w:color="auto" w:fill="FFFFFF"/>
        <w:autoSpaceDE w:val="0"/>
        <w:autoSpaceDN w:val="0"/>
        <w:adjustRightInd w:val="0"/>
        <w:spacing w:before="1104" w:after="0" w:line="240" w:lineRule="auto"/>
        <w:rPr>
          <w:rFonts w:ascii="Arial" w:eastAsia="Times New Roman" w:hAnsi="Arial" w:cs="Arial"/>
          <w:b/>
          <w:color w:val="000000"/>
          <w:sz w:val="30"/>
          <w:szCs w:val="30"/>
          <w:lang w:val="tr-TR" w:eastAsia="tr-TR" w:bidi="tr-TR"/>
        </w:rPr>
      </w:pPr>
      <w:bookmarkStart w:id="0" w:name="_GoBack"/>
      <w:r w:rsidRPr="002D2478">
        <w:rPr>
          <w:rFonts w:ascii="Arial" w:eastAsia="Times New Roman" w:hAnsi="Arial" w:cs="Arial"/>
          <w:b/>
          <w:color w:val="000000"/>
          <w:sz w:val="30"/>
          <w:szCs w:val="30"/>
          <w:lang w:val="tr-TR" w:eastAsia="tr-TR" w:bidi="tr-TR"/>
        </w:rPr>
        <w:t>REN</w:t>
      </w:r>
      <w:r w:rsidR="00654A55" w:rsidRPr="002D2478">
        <w:rPr>
          <w:rFonts w:ascii="Arial" w:eastAsia="Times New Roman" w:hAnsi="Arial" w:cs="Arial"/>
          <w:b/>
          <w:color w:val="000000"/>
          <w:sz w:val="30"/>
          <w:szCs w:val="30"/>
          <w:lang w:val="tr-TR" w:eastAsia="tr-TR" w:bidi="tr-TR"/>
        </w:rPr>
        <w:t>AULT GRUBU</w:t>
      </w:r>
      <w:r w:rsidR="002D2478" w:rsidRPr="002D2478">
        <w:rPr>
          <w:rFonts w:ascii="Arial" w:eastAsia="Times New Roman" w:hAnsi="Arial" w:cs="Arial"/>
          <w:b/>
          <w:color w:val="000000"/>
          <w:sz w:val="30"/>
          <w:szCs w:val="30"/>
          <w:lang w:val="tr-TR" w:eastAsia="tr-TR" w:bidi="tr-TR"/>
        </w:rPr>
        <w:t>’NUN</w:t>
      </w:r>
      <w:r w:rsidR="00654A55" w:rsidRPr="002D2478">
        <w:rPr>
          <w:rFonts w:ascii="Arial" w:eastAsia="Times New Roman" w:hAnsi="Arial" w:cs="Arial"/>
          <w:b/>
          <w:color w:val="000000"/>
          <w:sz w:val="30"/>
          <w:szCs w:val="30"/>
          <w:lang w:val="tr-TR" w:eastAsia="tr-TR" w:bidi="tr-TR"/>
        </w:rPr>
        <w:t xml:space="preserve"> CİROSU İLK ÇEYREKTE %11,7 ARTTI</w:t>
      </w:r>
    </w:p>
    <w:p w:rsidR="007111D2" w:rsidRPr="00461C2B" w:rsidRDefault="007111D2" w:rsidP="00C957A6">
      <w:pPr>
        <w:spacing w:after="0" w:line="250" w:lineRule="auto"/>
        <w:ind w:right="335"/>
        <w:rPr>
          <w:rFonts w:ascii="Arial" w:eastAsia="Arial" w:hAnsi="Arial" w:cs="Arial"/>
          <w:bCs/>
          <w:sz w:val="30"/>
          <w:szCs w:val="30"/>
          <w:lang w:val="tr-TR"/>
        </w:rPr>
      </w:pPr>
    </w:p>
    <w:p w:rsidR="00922840" w:rsidRPr="00461C2B" w:rsidRDefault="00BC10C2" w:rsidP="00C957A6">
      <w:pPr>
        <w:widowControl/>
        <w:numPr>
          <w:ilvl w:val="0"/>
          <w:numId w:val="12"/>
        </w:numPr>
        <w:spacing w:before="120" w:after="0" w:line="288" w:lineRule="auto"/>
        <w:ind w:left="357" w:hanging="357"/>
        <w:jc w:val="both"/>
        <w:textAlignment w:val="top"/>
        <w:rPr>
          <w:rFonts w:ascii="Arial" w:eastAsia="Times New Roman" w:hAnsi="Arial" w:cs="Arial"/>
          <w:b/>
          <w:bCs/>
          <w:lang w:val="tr-TR"/>
        </w:rPr>
      </w:pPr>
      <w:r w:rsidRPr="00461C2B">
        <w:rPr>
          <w:rFonts w:ascii="Arial" w:eastAsia="Times New Roman" w:hAnsi="Arial" w:cs="Arial"/>
          <w:b/>
          <w:bCs/>
          <w:lang w:val="tr-TR"/>
        </w:rPr>
        <w:t xml:space="preserve">Renault </w:t>
      </w:r>
      <w:r w:rsidR="00461C2B">
        <w:rPr>
          <w:rFonts w:ascii="Arial" w:eastAsia="Times New Roman" w:hAnsi="Arial" w:cs="Arial"/>
          <w:b/>
          <w:bCs/>
          <w:lang w:val="tr-TR"/>
        </w:rPr>
        <w:t xml:space="preserve">Grubu’nun </w:t>
      </w:r>
      <w:r w:rsidR="00654A55">
        <w:rPr>
          <w:rFonts w:ascii="Arial" w:eastAsia="Times New Roman" w:hAnsi="Arial" w:cs="Arial"/>
          <w:b/>
          <w:bCs/>
          <w:lang w:val="tr-TR"/>
        </w:rPr>
        <w:t>cirosu</w:t>
      </w:r>
      <w:r w:rsidR="00461C2B">
        <w:rPr>
          <w:rFonts w:ascii="Arial" w:eastAsia="Times New Roman" w:hAnsi="Arial" w:cs="Arial"/>
          <w:b/>
          <w:bCs/>
          <w:lang w:val="tr-TR"/>
        </w:rPr>
        <w:t xml:space="preserve"> 2016’nın ilk çeyreğinde </w:t>
      </w:r>
      <w:r w:rsidR="00654A55">
        <w:rPr>
          <w:rFonts w:ascii="Arial" w:eastAsia="Times New Roman" w:hAnsi="Arial" w:cs="Arial"/>
          <w:b/>
          <w:bCs/>
          <w:lang w:val="tr-TR"/>
        </w:rPr>
        <w:t>10 milyar 489 milyon Euro</w:t>
      </w:r>
      <w:r w:rsidR="00461C2B">
        <w:rPr>
          <w:rFonts w:ascii="Arial" w:eastAsia="Times New Roman" w:hAnsi="Arial" w:cs="Arial"/>
          <w:b/>
          <w:bCs/>
          <w:lang w:val="tr-TR"/>
        </w:rPr>
        <w:t xml:space="preserve"> olarak gerçekleşti</w:t>
      </w:r>
      <w:r w:rsidRPr="00461C2B">
        <w:rPr>
          <w:rFonts w:ascii="Arial" w:eastAsia="Times New Roman" w:hAnsi="Arial" w:cs="Arial"/>
          <w:b/>
          <w:bCs/>
          <w:lang w:val="tr-TR"/>
        </w:rPr>
        <w:t xml:space="preserve">. </w:t>
      </w:r>
      <w:r w:rsidR="00654A55">
        <w:rPr>
          <w:rFonts w:ascii="Arial" w:eastAsia="Times New Roman" w:hAnsi="Arial" w:cs="Arial"/>
          <w:b/>
          <w:bCs/>
          <w:lang w:val="tr-TR"/>
        </w:rPr>
        <w:t xml:space="preserve">Bu yüzde </w:t>
      </w:r>
      <w:r w:rsidR="00461C2B">
        <w:rPr>
          <w:rFonts w:ascii="Arial" w:eastAsia="Times New Roman" w:hAnsi="Arial" w:cs="Arial"/>
          <w:b/>
          <w:bCs/>
          <w:lang w:val="tr-TR"/>
        </w:rPr>
        <w:t>11.7’lik artış Avrupa pazarının toparlanmasına ve ürün gamının elde ettiği başarıya dayanıyor</w:t>
      </w:r>
      <w:r w:rsidR="0048684A" w:rsidRPr="00461C2B">
        <w:rPr>
          <w:rFonts w:ascii="Arial" w:eastAsia="Times New Roman" w:hAnsi="Arial" w:cs="Arial"/>
          <w:b/>
          <w:bCs/>
          <w:lang w:val="tr-TR"/>
        </w:rPr>
        <w:t>.</w:t>
      </w:r>
      <w:r w:rsidR="00922840" w:rsidRPr="00461C2B">
        <w:rPr>
          <w:rFonts w:ascii="Arial" w:eastAsia="Times New Roman" w:hAnsi="Arial" w:cs="Arial"/>
          <w:b/>
          <w:bCs/>
          <w:lang w:val="tr-TR"/>
        </w:rPr>
        <w:t xml:space="preserve"> </w:t>
      </w:r>
    </w:p>
    <w:p w:rsidR="002147ED" w:rsidRPr="00461C2B" w:rsidRDefault="00461C2B" w:rsidP="002147ED">
      <w:pPr>
        <w:widowControl/>
        <w:numPr>
          <w:ilvl w:val="0"/>
          <w:numId w:val="12"/>
        </w:numPr>
        <w:spacing w:before="120" w:after="0" w:line="288" w:lineRule="auto"/>
        <w:ind w:left="357" w:hanging="357"/>
        <w:jc w:val="both"/>
        <w:textAlignment w:val="top"/>
        <w:rPr>
          <w:rFonts w:ascii="Arial" w:eastAsia="Times New Roman" w:hAnsi="Arial" w:cs="Arial"/>
          <w:b/>
          <w:bCs/>
          <w:lang w:val="tr-TR"/>
        </w:rPr>
      </w:pPr>
      <w:r w:rsidRPr="00461C2B">
        <w:rPr>
          <w:rFonts w:ascii="Arial" w:eastAsia="Times New Roman" w:hAnsi="Arial" w:cs="Arial"/>
          <w:b/>
          <w:bCs/>
          <w:lang w:val="tr-TR"/>
        </w:rPr>
        <w:t xml:space="preserve">Renault </w:t>
      </w:r>
      <w:r w:rsidR="00654A55">
        <w:rPr>
          <w:rFonts w:ascii="Arial" w:eastAsia="Times New Roman" w:hAnsi="Arial" w:cs="Arial"/>
          <w:b/>
          <w:bCs/>
          <w:lang w:val="tr-TR"/>
        </w:rPr>
        <w:t xml:space="preserve">Grubu, 2016’nın ilk çeyreğinde yüzde </w:t>
      </w:r>
      <w:r>
        <w:rPr>
          <w:rFonts w:ascii="Arial" w:eastAsia="Times New Roman" w:hAnsi="Arial" w:cs="Arial"/>
          <w:b/>
          <w:bCs/>
          <w:lang w:val="tr-TR"/>
        </w:rPr>
        <w:t>7.3 artışla</w:t>
      </w:r>
      <w:r w:rsidR="00654A55">
        <w:rPr>
          <w:rFonts w:ascii="Arial" w:eastAsia="Times New Roman" w:hAnsi="Arial" w:cs="Arial"/>
          <w:b/>
          <w:bCs/>
          <w:lang w:val="tr-TR"/>
        </w:rPr>
        <w:t>,</w:t>
      </w:r>
      <w:r>
        <w:rPr>
          <w:rFonts w:ascii="Arial" w:eastAsia="Times New Roman" w:hAnsi="Arial" w:cs="Arial"/>
          <w:b/>
          <w:bCs/>
          <w:lang w:val="tr-TR"/>
        </w:rPr>
        <w:t xml:space="preserve"> </w:t>
      </w:r>
      <w:r w:rsidR="00654A55">
        <w:rPr>
          <w:rFonts w:ascii="Arial" w:eastAsia="Times New Roman" w:hAnsi="Arial" w:cs="Arial"/>
          <w:b/>
          <w:bCs/>
          <w:lang w:val="tr-TR"/>
        </w:rPr>
        <w:t xml:space="preserve">yüzde 1.5 oranında büyüyen </w:t>
      </w:r>
      <w:proofErr w:type="gramStart"/>
      <w:r w:rsidR="00654A55">
        <w:rPr>
          <w:rFonts w:ascii="Arial" w:eastAsia="Times New Roman" w:hAnsi="Arial" w:cs="Arial"/>
          <w:b/>
          <w:bCs/>
          <w:lang w:val="tr-TR"/>
        </w:rPr>
        <w:t>global</w:t>
      </w:r>
      <w:proofErr w:type="gramEnd"/>
      <w:r w:rsidR="00654A55">
        <w:rPr>
          <w:rFonts w:ascii="Arial" w:eastAsia="Times New Roman" w:hAnsi="Arial" w:cs="Arial"/>
          <w:b/>
          <w:bCs/>
          <w:lang w:val="tr-TR"/>
        </w:rPr>
        <w:t xml:space="preserve"> pazarlar</w:t>
      </w:r>
      <w:r>
        <w:rPr>
          <w:rFonts w:ascii="Arial" w:eastAsia="Times New Roman" w:hAnsi="Arial" w:cs="Arial"/>
          <w:b/>
          <w:bCs/>
          <w:lang w:val="tr-TR"/>
        </w:rPr>
        <w:t xml:space="preserve">da </w:t>
      </w:r>
      <w:r w:rsidR="00654A55">
        <w:rPr>
          <w:rFonts w:ascii="Arial" w:eastAsia="Times New Roman" w:hAnsi="Arial" w:cs="Arial"/>
          <w:b/>
          <w:bCs/>
          <w:lang w:val="tr-TR"/>
        </w:rPr>
        <w:t xml:space="preserve">692 bin </w:t>
      </w:r>
      <w:r w:rsidR="002147ED" w:rsidRPr="00461C2B">
        <w:rPr>
          <w:rFonts w:ascii="Arial" w:eastAsia="Times New Roman" w:hAnsi="Arial" w:cs="Arial"/>
          <w:b/>
          <w:bCs/>
          <w:lang w:val="tr-TR"/>
        </w:rPr>
        <w:t xml:space="preserve">453 </w:t>
      </w:r>
      <w:r>
        <w:rPr>
          <w:rFonts w:ascii="Arial" w:eastAsia="Times New Roman" w:hAnsi="Arial" w:cs="Arial"/>
          <w:b/>
          <w:bCs/>
          <w:lang w:val="tr-TR"/>
        </w:rPr>
        <w:t xml:space="preserve">adet araç </w:t>
      </w:r>
      <w:r w:rsidR="00654A55">
        <w:rPr>
          <w:rFonts w:ascii="Arial" w:eastAsia="Times New Roman" w:hAnsi="Arial" w:cs="Arial"/>
          <w:b/>
          <w:bCs/>
          <w:lang w:val="tr-TR"/>
        </w:rPr>
        <w:t xml:space="preserve">satışı gerçekleştirdi. </w:t>
      </w:r>
    </w:p>
    <w:p w:rsidR="002147ED" w:rsidRPr="00461C2B" w:rsidRDefault="00654A55" w:rsidP="00C957A6">
      <w:pPr>
        <w:widowControl/>
        <w:numPr>
          <w:ilvl w:val="0"/>
          <w:numId w:val="12"/>
        </w:numPr>
        <w:spacing w:before="120" w:after="0" w:line="288" w:lineRule="auto"/>
        <w:ind w:left="357" w:hanging="357"/>
        <w:jc w:val="both"/>
        <w:textAlignment w:val="top"/>
        <w:rPr>
          <w:rFonts w:ascii="Arial" w:eastAsia="Times New Roman" w:hAnsi="Arial" w:cs="Arial"/>
          <w:b/>
          <w:bCs/>
          <w:lang w:val="tr-TR"/>
        </w:rPr>
      </w:pPr>
      <w:r>
        <w:rPr>
          <w:rFonts w:ascii="Arial" w:eastAsia="Times New Roman" w:hAnsi="Arial" w:cs="Arial"/>
          <w:b/>
          <w:bCs/>
          <w:lang w:val="tr-TR"/>
        </w:rPr>
        <w:t xml:space="preserve">Yüzde </w:t>
      </w:r>
      <w:r w:rsidR="00461C2B">
        <w:rPr>
          <w:rFonts w:ascii="Arial" w:eastAsia="Times New Roman" w:hAnsi="Arial" w:cs="Arial"/>
          <w:b/>
          <w:bCs/>
          <w:lang w:val="tr-TR"/>
        </w:rPr>
        <w:t>8.2 oranında yükselme gö</w:t>
      </w:r>
      <w:r>
        <w:rPr>
          <w:rFonts w:ascii="Arial" w:eastAsia="Times New Roman" w:hAnsi="Arial" w:cs="Arial"/>
          <w:b/>
          <w:bCs/>
          <w:lang w:val="tr-TR"/>
        </w:rPr>
        <w:t xml:space="preserve">steren Avrupa pazarında ise Grup’un araç satışları yüzde </w:t>
      </w:r>
      <w:r w:rsidR="00461C2B">
        <w:rPr>
          <w:rFonts w:ascii="Arial" w:eastAsia="Times New Roman" w:hAnsi="Arial" w:cs="Arial"/>
          <w:b/>
          <w:bCs/>
          <w:lang w:val="tr-TR"/>
        </w:rPr>
        <w:t>8.9 art</w:t>
      </w:r>
      <w:r>
        <w:rPr>
          <w:rFonts w:ascii="Arial" w:eastAsia="Times New Roman" w:hAnsi="Arial" w:cs="Arial"/>
          <w:b/>
          <w:bCs/>
          <w:lang w:val="tr-TR"/>
        </w:rPr>
        <w:t>ış kaydetti</w:t>
      </w:r>
      <w:r w:rsidR="00461C2B">
        <w:rPr>
          <w:rFonts w:ascii="Arial" w:eastAsia="Times New Roman" w:hAnsi="Arial" w:cs="Arial"/>
          <w:b/>
          <w:bCs/>
          <w:lang w:val="tr-TR"/>
        </w:rPr>
        <w:t>. Bu</w:t>
      </w:r>
      <w:r>
        <w:rPr>
          <w:rFonts w:ascii="Arial" w:eastAsia="Times New Roman" w:hAnsi="Arial" w:cs="Arial"/>
          <w:b/>
          <w:bCs/>
          <w:lang w:val="tr-TR"/>
        </w:rPr>
        <w:t xml:space="preserve"> artıştaki e</w:t>
      </w:r>
      <w:r w:rsidR="00461C2B">
        <w:rPr>
          <w:rFonts w:ascii="Arial" w:eastAsia="Times New Roman" w:hAnsi="Arial" w:cs="Arial"/>
          <w:b/>
          <w:bCs/>
          <w:lang w:val="tr-TR"/>
        </w:rPr>
        <w:t>n büyük pay</w:t>
      </w:r>
      <w:r>
        <w:rPr>
          <w:rFonts w:ascii="Arial" w:eastAsia="Times New Roman" w:hAnsi="Arial" w:cs="Arial"/>
          <w:b/>
          <w:bCs/>
          <w:lang w:val="tr-TR"/>
        </w:rPr>
        <w:t>,</w:t>
      </w:r>
      <w:r w:rsidR="00461C2B">
        <w:rPr>
          <w:rFonts w:ascii="Arial" w:eastAsia="Times New Roman" w:hAnsi="Arial" w:cs="Arial"/>
          <w:b/>
          <w:bCs/>
          <w:lang w:val="tr-TR"/>
        </w:rPr>
        <w:t xml:space="preserve"> yeni modellerin başarısı </w:t>
      </w:r>
      <w:r w:rsidR="004D61FE" w:rsidRPr="00461C2B">
        <w:rPr>
          <w:rFonts w:ascii="Arial" w:eastAsia="Times New Roman" w:hAnsi="Arial" w:cs="Arial"/>
          <w:b/>
          <w:bCs/>
          <w:lang w:val="tr-TR"/>
        </w:rPr>
        <w:t>(</w:t>
      </w:r>
      <w:proofErr w:type="spellStart"/>
      <w:r w:rsidR="00461C2B">
        <w:rPr>
          <w:rFonts w:ascii="Arial" w:eastAsia="Times New Roman" w:hAnsi="Arial" w:cs="Arial"/>
          <w:b/>
          <w:bCs/>
          <w:lang w:val="tr-TR"/>
        </w:rPr>
        <w:t>Espace</w:t>
      </w:r>
      <w:proofErr w:type="spellEnd"/>
      <w:r w:rsidR="00461C2B">
        <w:rPr>
          <w:rFonts w:ascii="Arial" w:eastAsia="Times New Roman" w:hAnsi="Arial" w:cs="Arial"/>
          <w:b/>
          <w:bCs/>
          <w:lang w:val="tr-TR"/>
        </w:rPr>
        <w:t xml:space="preserve">, </w:t>
      </w:r>
      <w:proofErr w:type="spellStart"/>
      <w:r w:rsidR="00461C2B">
        <w:rPr>
          <w:rFonts w:ascii="Arial" w:eastAsia="Times New Roman" w:hAnsi="Arial" w:cs="Arial"/>
          <w:b/>
          <w:bCs/>
          <w:lang w:val="tr-TR"/>
        </w:rPr>
        <w:t>Kadjar</w:t>
      </w:r>
      <w:proofErr w:type="spellEnd"/>
      <w:r w:rsidR="00461C2B">
        <w:rPr>
          <w:rFonts w:ascii="Arial" w:eastAsia="Times New Roman" w:hAnsi="Arial" w:cs="Arial"/>
          <w:b/>
          <w:bCs/>
          <w:lang w:val="tr-TR"/>
        </w:rPr>
        <w:t xml:space="preserve"> ve</w:t>
      </w:r>
      <w:r w:rsidR="002147ED" w:rsidRPr="00461C2B">
        <w:rPr>
          <w:rFonts w:ascii="Arial" w:eastAsia="Times New Roman" w:hAnsi="Arial" w:cs="Arial"/>
          <w:b/>
          <w:bCs/>
          <w:lang w:val="tr-TR"/>
        </w:rPr>
        <w:t xml:space="preserve"> </w:t>
      </w:r>
      <w:proofErr w:type="spellStart"/>
      <w:r w:rsidR="004D61FE" w:rsidRPr="00461C2B">
        <w:rPr>
          <w:rFonts w:ascii="Arial" w:eastAsia="Times New Roman" w:hAnsi="Arial" w:cs="Arial"/>
          <w:b/>
          <w:bCs/>
          <w:lang w:val="tr-TR"/>
        </w:rPr>
        <w:t>T</w:t>
      </w:r>
      <w:r w:rsidR="002147ED" w:rsidRPr="00461C2B">
        <w:rPr>
          <w:rFonts w:ascii="Arial" w:eastAsia="Times New Roman" w:hAnsi="Arial" w:cs="Arial"/>
          <w:b/>
          <w:bCs/>
          <w:lang w:val="tr-TR"/>
        </w:rPr>
        <w:t>alisman</w:t>
      </w:r>
      <w:proofErr w:type="spellEnd"/>
      <w:r w:rsidR="004D61FE" w:rsidRPr="00461C2B">
        <w:rPr>
          <w:rFonts w:ascii="Arial" w:eastAsia="Times New Roman" w:hAnsi="Arial" w:cs="Arial"/>
          <w:b/>
          <w:bCs/>
          <w:lang w:val="tr-TR"/>
        </w:rPr>
        <w:t>)</w:t>
      </w:r>
      <w:r w:rsidR="002147ED" w:rsidRPr="00461C2B">
        <w:rPr>
          <w:rFonts w:ascii="Arial" w:eastAsia="Times New Roman" w:hAnsi="Arial" w:cs="Arial"/>
          <w:b/>
          <w:bCs/>
          <w:lang w:val="tr-TR"/>
        </w:rPr>
        <w:t xml:space="preserve"> </w:t>
      </w:r>
      <w:r w:rsidR="00461C2B">
        <w:rPr>
          <w:rFonts w:ascii="Arial" w:eastAsia="Times New Roman" w:hAnsi="Arial" w:cs="Arial"/>
          <w:b/>
          <w:bCs/>
          <w:lang w:val="tr-TR"/>
        </w:rPr>
        <w:t xml:space="preserve">ve </w:t>
      </w:r>
      <w:proofErr w:type="spellStart"/>
      <w:r w:rsidR="002147ED" w:rsidRPr="00461C2B">
        <w:rPr>
          <w:rFonts w:ascii="Arial" w:eastAsia="Times New Roman" w:hAnsi="Arial" w:cs="Arial"/>
          <w:b/>
          <w:bCs/>
          <w:lang w:val="tr-TR"/>
        </w:rPr>
        <w:t>C</w:t>
      </w:r>
      <w:r w:rsidR="00461C2B">
        <w:rPr>
          <w:rFonts w:ascii="Arial" w:eastAsia="Times New Roman" w:hAnsi="Arial" w:cs="Arial"/>
          <w:b/>
          <w:bCs/>
          <w:lang w:val="tr-TR"/>
        </w:rPr>
        <w:t>lio</w:t>
      </w:r>
      <w:proofErr w:type="spellEnd"/>
      <w:r w:rsidR="00461C2B">
        <w:rPr>
          <w:rFonts w:ascii="Arial" w:eastAsia="Times New Roman" w:hAnsi="Arial" w:cs="Arial"/>
          <w:b/>
          <w:bCs/>
          <w:lang w:val="tr-TR"/>
        </w:rPr>
        <w:t xml:space="preserve"> IV ile</w:t>
      </w:r>
      <w:r w:rsidR="002147ED" w:rsidRPr="00461C2B">
        <w:rPr>
          <w:rFonts w:ascii="Arial" w:eastAsia="Times New Roman" w:hAnsi="Arial" w:cs="Arial"/>
          <w:b/>
          <w:bCs/>
          <w:lang w:val="tr-TR"/>
        </w:rPr>
        <w:t xml:space="preserve"> </w:t>
      </w:r>
      <w:proofErr w:type="spellStart"/>
      <w:r w:rsidR="002147ED" w:rsidRPr="00461C2B">
        <w:rPr>
          <w:rFonts w:ascii="Arial" w:eastAsia="Times New Roman" w:hAnsi="Arial" w:cs="Arial"/>
          <w:b/>
          <w:bCs/>
          <w:lang w:val="tr-TR"/>
        </w:rPr>
        <w:t>Captur</w:t>
      </w:r>
      <w:r w:rsidR="00AC1D37">
        <w:rPr>
          <w:rFonts w:ascii="Arial" w:eastAsia="Times New Roman" w:hAnsi="Arial" w:cs="Arial"/>
          <w:b/>
          <w:bCs/>
          <w:lang w:val="tr-TR"/>
        </w:rPr>
        <w:t>’un</w:t>
      </w:r>
      <w:proofErr w:type="spellEnd"/>
      <w:r w:rsidR="00AC1D37">
        <w:rPr>
          <w:rFonts w:ascii="Arial" w:eastAsia="Times New Roman" w:hAnsi="Arial" w:cs="Arial"/>
          <w:b/>
          <w:bCs/>
          <w:lang w:val="tr-TR"/>
        </w:rPr>
        <w:t xml:space="preserve"> devam eden başarılı</w:t>
      </w:r>
      <w:r>
        <w:rPr>
          <w:rFonts w:ascii="Arial" w:eastAsia="Times New Roman" w:hAnsi="Arial" w:cs="Arial"/>
          <w:b/>
          <w:bCs/>
          <w:lang w:val="tr-TR"/>
        </w:rPr>
        <w:t xml:space="preserve"> satış rakamlarına ait</w:t>
      </w:r>
      <w:r w:rsidR="002147ED" w:rsidRPr="00461C2B">
        <w:rPr>
          <w:rFonts w:ascii="Arial" w:eastAsia="Times New Roman" w:hAnsi="Arial" w:cs="Arial"/>
          <w:b/>
          <w:bCs/>
          <w:lang w:val="tr-TR"/>
        </w:rPr>
        <w:t>.</w:t>
      </w:r>
    </w:p>
    <w:p w:rsidR="002147ED" w:rsidRPr="00461C2B" w:rsidRDefault="00461C2B" w:rsidP="002147ED">
      <w:pPr>
        <w:widowControl/>
        <w:numPr>
          <w:ilvl w:val="0"/>
          <w:numId w:val="12"/>
        </w:numPr>
        <w:spacing w:before="120" w:after="0" w:line="288" w:lineRule="auto"/>
        <w:ind w:left="357" w:hanging="357"/>
        <w:jc w:val="both"/>
        <w:textAlignment w:val="top"/>
        <w:rPr>
          <w:rFonts w:ascii="Arial" w:eastAsia="Times New Roman" w:hAnsi="Arial" w:cs="Arial"/>
          <w:b/>
          <w:bCs/>
          <w:lang w:val="tr-TR"/>
        </w:rPr>
      </w:pPr>
      <w:r>
        <w:rPr>
          <w:rFonts w:ascii="Arial" w:eastAsia="Times New Roman" w:hAnsi="Arial" w:cs="Arial"/>
          <w:b/>
          <w:bCs/>
          <w:lang w:val="tr-TR"/>
        </w:rPr>
        <w:t xml:space="preserve">Avrupa </w:t>
      </w:r>
      <w:r w:rsidR="00891363">
        <w:rPr>
          <w:rFonts w:ascii="Arial" w:eastAsia="Times New Roman" w:hAnsi="Arial" w:cs="Arial"/>
          <w:b/>
          <w:bCs/>
          <w:lang w:val="tr-TR"/>
        </w:rPr>
        <w:t>dışında ise Rusya, Brezilya ve Cezayir pazarlarındaki kötü gidişata rağmen Gru</w:t>
      </w:r>
      <w:r w:rsidR="00654A55">
        <w:rPr>
          <w:rFonts w:ascii="Arial" w:eastAsia="Times New Roman" w:hAnsi="Arial" w:cs="Arial"/>
          <w:b/>
          <w:bCs/>
          <w:lang w:val="tr-TR"/>
        </w:rPr>
        <w:t>p’</w:t>
      </w:r>
      <w:r w:rsidR="00EC5B9F">
        <w:rPr>
          <w:rFonts w:ascii="Arial" w:eastAsia="Times New Roman" w:hAnsi="Arial" w:cs="Arial"/>
          <w:b/>
          <w:bCs/>
          <w:lang w:val="tr-TR"/>
        </w:rPr>
        <w:t xml:space="preserve">un satışları yüzde </w:t>
      </w:r>
      <w:r w:rsidR="00891363">
        <w:rPr>
          <w:rFonts w:ascii="Arial" w:eastAsia="Times New Roman" w:hAnsi="Arial" w:cs="Arial"/>
          <w:b/>
          <w:bCs/>
          <w:lang w:val="tr-TR"/>
        </w:rPr>
        <w:t>4.7 oranında yükseldi</w:t>
      </w:r>
      <w:r w:rsidR="00891363" w:rsidRPr="00461C2B">
        <w:rPr>
          <w:rFonts w:ascii="Arial" w:eastAsia="Times New Roman" w:hAnsi="Arial" w:cs="Arial"/>
          <w:b/>
          <w:bCs/>
          <w:lang w:val="tr-TR"/>
        </w:rPr>
        <w:t>.</w:t>
      </w:r>
      <w:r w:rsidR="00891363">
        <w:rPr>
          <w:rFonts w:ascii="Arial" w:eastAsia="Times New Roman" w:hAnsi="Arial" w:cs="Arial"/>
          <w:b/>
          <w:bCs/>
          <w:lang w:val="tr-TR"/>
        </w:rPr>
        <w:t xml:space="preserve"> Afrika, Orta Doğu ve Hindistan</w:t>
      </w:r>
      <w:r w:rsidR="00EC5B9F">
        <w:rPr>
          <w:rFonts w:ascii="Arial" w:eastAsia="Times New Roman" w:hAnsi="Arial" w:cs="Arial"/>
          <w:b/>
          <w:bCs/>
          <w:lang w:val="tr-TR"/>
        </w:rPr>
        <w:t xml:space="preserve"> Bölgelerinde görülen yüzde </w:t>
      </w:r>
      <w:r w:rsidR="005437EF">
        <w:rPr>
          <w:rFonts w:ascii="Arial" w:eastAsia="Times New Roman" w:hAnsi="Arial" w:cs="Arial"/>
          <w:b/>
          <w:bCs/>
          <w:lang w:val="tr-TR"/>
        </w:rPr>
        <w:t>36.1’lik</w:t>
      </w:r>
      <w:r w:rsidR="00891363">
        <w:rPr>
          <w:rFonts w:ascii="Arial" w:eastAsia="Times New Roman" w:hAnsi="Arial" w:cs="Arial"/>
          <w:b/>
          <w:bCs/>
          <w:lang w:val="tr-TR"/>
        </w:rPr>
        <w:t xml:space="preserve"> artış bu yükselmede etkili oldu. </w:t>
      </w:r>
    </w:p>
    <w:p w:rsidR="002147ED" w:rsidRPr="00461C2B" w:rsidRDefault="00891363" w:rsidP="00C957A6">
      <w:pPr>
        <w:widowControl/>
        <w:numPr>
          <w:ilvl w:val="0"/>
          <w:numId w:val="12"/>
        </w:numPr>
        <w:spacing w:before="120" w:after="0" w:line="288" w:lineRule="auto"/>
        <w:ind w:left="357" w:hanging="357"/>
        <w:jc w:val="both"/>
        <w:textAlignment w:val="top"/>
        <w:rPr>
          <w:rFonts w:ascii="Arial" w:eastAsia="Times New Roman" w:hAnsi="Arial" w:cs="Arial"/>
          <w:b/>
          <w:bCs/>
          <w:lang w:val="tr-TR"/>
        </w:rPr>
      </w:pPr>
      <w:r>
        <w:rPr>
          <w:rFonts w:ascii="Arial" w:eastAsia="Times New Roman" w:hAnsi="Arial" w:cs="Arial"/>
          <w:b/>
          <w:bCs/>
          <w:lang w:val="tr-TR"/>
        </w:rPr>
        <w:t>Avrupa pazarlarında ilk çeyrekte ortaya çıkan b</w:t>
      </w:r>
      <w:r w:rsidR="00EC5B9F">
        <w:rPr>
          <w:rFonts w:ascii="Arial" w:eastAsia="Times New Roman" w:hAnsi="Arial" w:cs="Arial"/>
          <w:b/>
          <w:bCs/>
          <w:lang w:val="tr-TR"/>
        </w:rPr>
        <w:t>üyüme göz önüne alındığında Grup’</w:t>
      </w:r>
      <w:r>
        <w:rPr>
          <w:rFonts w:ascii="Arial" w:eastAsia="Times New Roman" w:hAnsi="Arial" w:cs="Arial"/>
          <w:b/>
          <w:bCs/>
          <w:lang w:val="tr-TR"/>
        </w:rPr>
        <w:t xml:space="preserve">un söz konusu pazardaki </w:t>
      </w:r>
      <w:r w:rsidR="001E2775">
        <w:rPr>
          <w:rFonts w:ascii="Arial" w:eastAsia="Times New Roman" w:hAnsi="Arial" w:cs="Arial"/>
          <w:b/>
          <w:bCs/>
          <w:lang w:val="tr-TR"/>
        </w:rPr>
        <w:t>tüm</w:t>
      </w:r>
      <w:r>
        <w:rPr>
          <w:rFonts w:ascii="Arial" w:eastAsia="Times New Roman" w:hAnsi="Arial" w:cs="Arial"/>
          <w:b/>
          <w:bCs/>
          <w:lang w:val="tr-TR"/>
        </w:rPr>
        <w:t xml:space="preserve"> yıl tahmini daha önceki </w:t>
      </w:r>
      <w:r w:rsidRPr="00461C2B">
        <w:rPr>
          <w:rFonts w:ascii="Arial" w:eastAsia="Times New Roman" w:hAnsi="Arial" w:cs="Arial"/>
          <w:b/>
          <w:bCs/>
          <w:lang w:val="tr-TR"/>
        </w:rPr>
        <w:t>+%2</w:t>
      </w:r>
      <w:r>
        <w:rPr>
          <w:rFonts w:ascii="Arial" w:eastAsia="Times New Roman" w:hAnsi="Arial" w:cs="Arial"/>
          <w:b/>
          <w:bCs/>
          <w:lang w:val="tr-TR"/>
        </w:rPr>
        <w:t xml:space="preserve">’nin yerine </w:t>
      </w:r>
      <w:r w:rsidRPr="00461C2B">
        <w:rPr>
          <w:rFonts w:ascii="Arial" w:eastAsia="Times New Roman" w:hAnsi="Arial" w:cs="Arial"/>
          <w:b/>
          <w:bCs/>
          <w:lang w:val="tr-TR"/>
        </w:rPr>
        <w:t>+%</w:t>
      </w:r>
      <w:r>
        <w:rPr>
          <w:rFonts w:ascii="Arial" w:eastAsia="Times New Roman" w:hAnsi="Arial" w:cs="Arial"/>
          <w:b/>
          <w:bCs/>
          <w:lang w:val="tr-TR"/>
        </w:rPr>
        <w:t>5 olarak güncellendi</w:t>
      </w:r>
      <w:r w:rsidR="002147ED" w:rsidRPr="00461C2B">
        <w:rPr>
          <w:rFonts w:ascii="Arial" w:eastAsia="Times New Roman" w:hAnsi="Arial" w:cs="Arial"/>
          <w:b/>
          <w:bCs/>
          <w:lang w:val="tr-TR"/>
        </w:rPr>
        <w:t xml:space="preserve">. </w:t>
      </w:r>
      <w:r>
        <w:rPr>
          <w:rFonts w:ascii="Arial" w:eastAsia="Times New Roman" w:hAnsi="Arial" w:cs="Arial"/>
          <w:b/>
          <w:bCs/>
          <w:lang w:val="tr-TR"/>
        </w:rPr>
        <w:t>Brezilya pazarı</w:t>
      </w:r>
      <w:r w:rsidR="00260FB2">
        <w:rPr>
          <w:rFonts w:ascii="Arial" w:eastAsia="Times New Roman" w:hAnsi="Arial" w:cs="Arial"/>
          <w:b/>
          <w:bCs/>
          <w:lang w:val="tr-TR"/>
        </w:rPr>
        <w:t xml:space="preserve"> tahmini ise </w:t>
      </w:r>
      <w:r>
        <w:rPr>
          <w:rFonts w:ascii="Arial" w:eastAsia="Times New Roman" w:hAnsi="Arial" w:cs="Arial"/>
          <w:b/>
          <w:bCs/>
          <w:lang w:val="tr-TR"/>
        </w:rPr>
        <w:t xml:space="preserve">önceki </w:t>
      </w:r>
      <w:r w:rsidRPr="00461C2B">
        <w:rPr>
          <w:rFonts w:ascii="Arial" w:eastAsia="Times New Roman" w:hAnsi="Arial" w:cs="Arial"/>
          <w:b/>
          <w:bCs/>
          <w:lang w:val="tr-TR"/>
        </w:rPr>
        <w:t>- %6</w:t>
      </w:r>
      <w:r>
        <w:rPr>
          <w:rFonts w:ascii="Arial" w:eastAsia="Times New Roman" w:hAnsi="Arial" w:cs="Arial"/>
          <w:b/>
          <w:bCs/>
          <w:lang w:val="tr-TR"/>
        </w:rPr>
        <w:t xml:space="preserve">’ya kıyasla </w:t>
      </w:r>
      <w:r w:rsidRPr="00461C2B">
        <w:rPr>
          <w:rFonts w:ascii="Arial" w:eastAsia="Times New Roman" w:hAnsi="Arial" w:cs="Arial"/>
          <w:b/>
          <w:bCs/>
          <w:lang w:val="tr-TR"/>
        </w:rPr>
        <w:t xml:space="preserve">- %15 </w:t>
      </w:r>
      <w:r>
        <w:rPr>
          <w:rFonts w:ascii="Arial" w:eastAsia="Times New Roman" w:hAnsi="Arial" w:cs="Arial"/>
          <w:b/>
          <w:bCs/>
          <w:lang w:val="tr-TR"/>
        </w:rPr>
        <w:t>ila</w:t>
      </w:r>
      <w:r w:rsidRPr="00461C2B">
        <w:rPr>
          <w:rFonts w:ascii="Arial" w:eastAsia="Times New Roman" w:hAnsi="Arial" w:cs="Arial"/>
          <w:b/>
          <w:bCs/>
          <w:lang w:val="tr-TR"/>
        </w:rPr>
        <w:t xml:space="preserve"> - %</w:t>
      </w:r>
      <w:r w:rsidR="00EC5B9F">
        <w:rPr>
          <w:rFonts w:ascii="Arial" w:eastAsia="Times New Roman" w:hAnsi="Arial" w:cs="Arial"/>
          <w:b/>
          <w:bCs/>
          <w:lang w:val="tr-TR"/>
        </w:rPr>
        <w:t>20 arasında olarak</w:t>
      </w:r>
      <w:r w:rsidR="00260FB2">
        <w:rPr>
          <w:rFonts w:ascii="Arial" w:eastAsia="Times New Roman" w:hAnsi="Arial" w:cs="Arial"/>
          <w:b/>
          <w:bCs/>
          <w:lang w:val="tr-TR"/>
        </w:rPr>
        <w:t xml:space="preserve"> güncellendi</w:t>
      </w:r>
      <w:r w:rsidR="002147ED" w:rsidRPr="00461C2B">
        <w:rPr>
          <w:rFonts w:ascii="Arial" w:eastAsia="Times New Roman" w:hAnsi="Arial" w:cs="Arial"/>
          <w:b/>
          <w:bCs/>
          <w:lang w:val="tr-TR"/>
        </w:rPr>
        <w:t>.</w:t>
      </w:r>
      <w:r w:rsidR="001E2775">
        <w:rPr>
          <w:rFonts w:ascii="Arial" w:eastAsia="Times New Roman" w:hAnsi="Arial" w:cs="Arial"/>
          <w:b/>
          <w:bCs/>
          <w:lang w:val="tr-TR"/>
        </w:rPr>
        <w:t xml:space="preserve"> </w:t>
      </w:r>
    </w:p>
    <w:p w:rsidR="00F81381" w:rsidRPr="0028674D" w:rsidRDefault="0028674D" w:rsidP="00F81381">
      <w:pPr>
        <w:widowControl/>
        <w:numPr>
          <w:ilvl w:val="0"/>
          <w:numId w:val="12"/>
        </w:numPr>
        <w:spacing w:before="120" w:after="0" w:line="288" w:lineRule="auto"/>
        <w:ind w:left="357" w:hanging="357"/>
        <w:jc w:val="both"/>
        <w:textAlignment w:val="top"/>
        <w:rPr>
          <w:rFonts w:ascii="Arial" w:eastAsia="Times New Roman" w:hAnsi="Arial" w:cs="Arial"/>
          <w:b/>
          <w:bCs/>
          <w:lang w:val="tr-TR"/>
        </w:rPr>
      </w:pPr>
      <w:r>
        <w:rPr>
          <w:rFonts w:ascii="Arial" w:eastAsia="Times New Roman" w:hAnsi="Arial" w:cs="Arial"/>
          <w:b/>
          <w:bCs/>
          <w:lang w:val="tr-TR"/>
        </w:rPr>
        <w:t>Grup, 2016 yılına ilişkin hedeflerini teyit etti</w:t>
      </w:r>
      <w:r w:rsidR="00F81381" w:rsidRPr="0028674D">
        <w:rPr>
          <w:rFonts w:ascii="Arial" w:eastAsia="Times New Roman" w:hAnsi="Arial" w:cs="Arial"/>
          <w:b/>
          <w:bCs/>
          <w:lang w:val="tr-TR"/>
        </w:rPr>
        <w:t>.</w:t>
      </w:r>
    </w:p>
    <w:p w:rsidR="00600B71" w:rsidRPr="00461C2B" w:rsidRDefault="00600B71" w:rsidP="00C957A6">
      <w:pPr>
        <w:widowControl/>
        <w:spacing w:before="100" w:beforeAutospacing="1" w:after="100" w:afterAutospacing="1" w:line="240" w:lineRule="auto"/>
        <w:jc w:val="both"/>
        <w:textAlignment w:val="top"/>
        <w:rPr>
          <w:rFonts w:ascii="Arial" w:eastAsiaTheme="minorEastAsia" w:hAnsi="Arial" w:cs="Arial"/>
          <w:b/>
          <w:bCs/>
          <w:caps/>
          <w:sz w:val="26"/>
          <w:szCs w:val="26"/>
          <w:lang w:val="tr-TR"/>
        </w:rPr>
      </w:pPr>
    </w:p>
    <w:p w:rsidR="00F81381" w:rsidRPr="00461C2B" w:rsidRDefault="00EC5B9F" w:rsidP="00F81381">
      <w:pPr>
        <w:widowControl/>
        <w:spacing w:before="100" w:beforeAutospacing="1" w:after="100" w:afterAutospacing="1" w:line="240" w:lineRule="auto"/>
        <w:jc w:val="both"/>
        <w:textAlignment w:val="top"/>
        <w:rPr>
          <w:rFonts w:ascii="Arial" w:eastAsiaTheme="minorEastAsia" w:hAnsi="Arial" w:cs="Arial"/>
          <w:b/>
          <w:bCs/>
          <w:caps/>
          <w:szCs w:val="26"/>
          <w:lang w:val="tr-TR"/>
        </w:rPr>
      </w:pPr>
      <w:r>
        <w:rPr>
          <w:rFonts w:ascii="Arial" w:eastAsiaTheme="minorEastAsia" w:hAnsi="Arial" w:cs="Arial"/>
          <w:b/>
          <w:bCs/>
          <w:caps/>
          <w:szCs w:val="26"/>
          <w:lang w:val="tr-TR"/>
        </w:rPr>
        <w:t>İLK ÇEYREK TİCARİ SONUÇLAR</w:t>
      </w:r>
    </w:p>
    <w:p w:rsidR="00F81381" w:rsidRPr="00461C2B" w:rsidRDefault="00EC5B9F" w:rsidP="00F81381">
      <w:pPr>
        <w:widowControl/>
        <w:spacing w:before="120" w:after="0" w:line="288" w:lineRule="auto"/>
        <w:jc w:val="both"/>
        <w:textAlignment w:val="top"/>
        <w:rPr>
          <w:rFonts w:ascii="Arial" w:eastAsiaTheme="minorEastAsia" w:hAnsi="Arial" w:cs="Arial"/>
          <w:sz w:val="20"/>
          <w:szCs w:val="20"/>
          <w:lang w:val="tr-TR"/>
        </w:rPr>
      </w:pPr>
      <w:r>
        <w:rPr>
          <w:rFonts w:ascii="Arial" w:eastAsiaTheme="minorEastAsia" w:hAnsi="Arial" w:cs="Arial"/>
          <w:sz w:val="20"/>
          <w:szCs w:val="20"/>
          <w:lang w:val="tr-TR"/>
        </w:rPr>
        <w:t xml:space="preserve">Yüzde </w:t>
      </w:r>
      <w:r w:rsidR="00891363" w:rsidRPr="00461C2B">
        <w:rPr>
          <w:rFonts w:ascii="Arial" w:eastAsiaTheme="minorEastAsia" w:hAnsi="Arial" w:cs="Arial"/>
          <w:sz w:val="20"/>
          <w:szCs w:val="20"/>
          <w:lang w:val="tr-TR"/>
        </w:rPr>
        <w:t>1.5</w:t>
      </w:r>
      <w:r w:rsidR="00891363">
        <w:rPr>
          <w:rFonts w:ascii="Arial" w:eastAsiaTheme="minorEastAsia" w:hAnsi="Arial" w:cs="Arial"/>
          <w:sz w:val="20"/>
          <w:szCs w:val="20"/>
          <w:lang w:val="tr-TR"/>
        </w:rPr>
        <w:t xml:space="preserve"> yükselen </w:t>
      </w:r>
      <w:proofErr w:type="gramStart"/>
      <w:r w:rsidR="00891363">
        <w:rPr>
          <w:rFonts w:ascii="Arial" w:eastAsiaTheme="minorEastAsia" w:hAnsi="Arial" w:cs="Arial"/>
          <w:sz w:val="20"/>
          <w:szCs w:val="20"/>
          <w:lang w:val="tr-TR"/>
        </w:rPr>
        <w:t>global</w:t>
      </w:r>
      <w:proofErr w:type="gramEnd"/>
      <w:r w:rsidR="00891363">
        <w:rPr>
          <w:rFonts w:ascii="Arial" w:eastAsiaTheme="minorEastAsia" w:hAnsi="Arial" w:cs="Arial"/>
          <w:sz w:val="20"/>
          <w:szCs w:val="20"/>
          <w:lang w:val="tr-TR"/>
        </w:rPr>
        <w:t xml:space="preserve"> otomotiv pazarında Renault Grubu</w:t>
      </w:r>
      <w:r>
        <w:rPr>
          <w:rFonts w:ascii="Arial" w:eastAsiaTheme="minorEastAsia" w:hAnsi="Arial" w:cs="Arial"/>
          <w:sz w:val="20"/>
          <w:szCs w:val="20"/>
          <w:lang w:val="tr-TR"/>
        </w:rPr>
        <w:t>’</w:t>
      </w:r>
      <w:r w:rsidR="00891363">
        <w:rPr>
          <w:rFonts w:ascii="Arial" w:eastAsiaTheme="minorEastAsia" w:hAnsi="Arial" w:cs="Arial"/>
          <w:sz w:val="20"/>
          <w:szCs w:val="20"/>
          <w:lang w:val="tr-TR"/>
        </w:rPr>
        <w:t xml:space="preserve">nun satışları </w:t>
      </w:r>
      <w:r>
        <w:rPr>
          <w:rFonts w:ascii="Arial" w:eastAsiaTheme="minorEastAsia" w:hAnsi="Arial" w:cs="Arial"/>
          <w:sz w:val="20"/>
          <w:szCs w:val="20"/>
          <w:lang w:val="tr-TR"/>
        </w:rPr>
        <w:t xml:space="preserve">yüzde </w:t>
      </w:r>
      <w:r w:rsidR="0006183E">
        <w:rPr>
          <w:rFonts w:ascii="Arial" w:eastAsiaTheme="minorEastAsia" w:hAnsi="Arial" w:cs="Arial"/>
          <w:sz w:val="20"/>
          <w:szCs w:val="20"/>
          <w:lang w:val="tr-TR"/>
        </w:rPr>
        <w:t>7.3 artarak</w:t>
      </w:r>
      <w:r>
        <w:rPr>
          <w:rFonts w:ascii="Arial" w:eastAsiaTheme="minorEastAsia" w:hAnsi="Arial" w:cs="Arial"/>
          <w:sz w:val="20"/>
          <w:szCs w:val="20"/>
          <w:lang w:val="tr-TR"/>
        </w:rPr>
        <w:t xml:space="preserve"> 692 bin </w:t>
      </w:r>
      <w:r w:rsidR="00F81381" w:rsidRPr="00461C2B">
        <w:rPr>
          <w:rFonts w:ascii="Arial" w:eastAsiaTheme="minorEastAsia" w:hAnsi="Arial" w:cs="Arial"/>
          <w:sz w:val="20"/>
          <w:szCs w:val="20"/>
          <w:lang w:val="tr-TR"/>
        </w:rPr>
        <w:t xml:space="preserve">453 </w:t>
      </w:r>
      <w:r w:rsidR="0006183E">
        <w:rPr>
          <w:rFonts w:ascii="Arial" w:eastAsiaTheme="minorEastAsia" w:hAnsi="Arial" w:cs="Arial"/>
          <w:sz w:val="20"/>
          <w:szCs w:val="20"/>
          <w:lang w:val="tr-TR"/>
        </w:rPr>
        <w:t>adede ulaştı</w:t>
      </w:r>
      <w:r w:rsidR="00F81381" w:rsidRPr="00461C2B">
        <w:rPr>
          <w:rFonts w:ascii="Arial" w:eastAsiaTheme="minorEastAsia" w:hAnsi="Arial" w:cs="Arial"/>
          <w:sz w:val="20"/>
          <w:szCs w:val="20"/>
          <w:lang w:val="tr-TR"/>
        </w:rPr>
        <w:t xml:space="preserve">. </w:t>
      </w:r>
      <w:r>
        <w:rPr>
          <w:rFonts w:ascii="Arial" w:eastAsiaTheme="minorEastAsia" w:hAnsi="Arial" w:cs="Arial"/>
          <w:sz w:val="20"/>
          <w:szCs w:val="20"/>
          <w:lang w:val="tr-TR"/>
        </w:rPr>
        <w:t>Grup’</w:t>
      </w:r>
      <w:r w:rsidR="0006183E">
        <w:rPr>
          <w:rFonts w:ascii="Arial" w:eastAsiaTheme="minorEastAsia" w:hAnsi="Arial" w:cs="Arial"/>
          <w:sz w:val="20"/>
          <w:szCs w:val="20"/>
          <w:lang w:val="tr-TR"/>
        </w:rPr>
        <w:t xml:space="preserve">un pazar payı ise </w:t>
      </w:r>
      <w:r w:rsidR="00C4593C" w:rsidRPr="00461C2B">
        <w:rPr>
          <w:rFonts w:ascii="Arial" w:eastAsiaTheme="minorEastAsia" w:hAnsi="Arial" w:cs="Arial"/>
          <w:sz w:val="20"/>
          <w:szCs w:val="20"/>
          <w:lang w:val="tr-TR"/>
        </w:rPr>
        <w:t>0.2</w:t>
      </w:r>
      <w:r w:rsidR="00F81381" w:rsidRPr="00461C2B">
        <w:rPr>
          <w:rFonts w:ascii="Arial" w:eastAsiaTheme="minorEastAsia" w:hAnsi="Arial" w:cs="Arial"/>
          <w:sz w:val="20"/>
          <w:szCs w:val="20"/>
          <w:lang w:val="tr-TR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tr-TR"/>
        </w:rPr>
        <w:t xml:space="preserve">puanlık artışla yüzde </w:t>
      </w:r>
      <w:r w:rsidR="0006183E">
        <w:rPr>
          <w:rFonts w:ascii="Arial" w:eastAsiaTheme="minorEastAsia" w:hAnsi="Arial" w:cs="Arial"/>
          <w:sz w:val="20"/>
          <w:szCs w:val="20"/>
          <w:lang w:val="tr-TR"/>
        </w:rPr>
        <w:t>3.1 oldu.</w:t>
      </w:r>
      <w:r w:rsidR="00F81381" w:rsidRPr="00461C2B">
        <w:rPr>
          <w:rFonts w:ascii="Arial" w:eastAsiaTheme="minorEastAsia" w:hAnsi="Arial" w:cs="Arial"/>
          <w:sz w:val="20"/>
          <w:szCs w:val="20"/>
          <w:lang w:val="tr-TR"/>
        </w:rPr>
        <w:t xml:space="preserve"> </w:t>
      </w:r>
      <w:r w:rsidR="002C07E7">
        <w:rPr>
          <w:rFonts w:ascii="Arial" w:eastAsiaTheme="minorEastAsia" w:hAnsi="Arial" w:cs="Arial"/>
          <w:sz w:val="20"/>
          <w:szCs w:val="20"/>
          <w:lang w:val="tr-TR"/>
        </w:rPr>
        <w:t xml:space="preserve">                                                  </w:t>
      </w:r>
    </w:p>
    <w:p w:rsidR="00F81381" w:rsidRPr="00461C2B" w:rsidRDefault="0006183E" w:rsidP="00F81381">
      <w:pPr>
        <w:widowControl/>
        <w:spacing w:before="120" w:after="0" w:line="288" w:lineRule="auto"/>
        <w:jc w:val="both"/>
        <w:textAlignment w:val="top"/>
        <w:rPr>
          <w:rFonts w:ascii="Arial" w:eastAsiaTheme="minorEastAsia" w:hAnsi="Arial" w:cs="Arial"/>
          <w:sz w:val="20"/>
          <w:szCs w:val="20"/>
          <w:lang w:val="tr-TR"/>
        </w:rPr>
      </w:pPr>
      <w:r>
        <w:rPr>
          <w:rFonts w:ascii="Arial" w:eastAsiaTheme="minorEastAsia" w:hAnsi="Arial" w:cs="Arial"/>
          <w:sz w:val="20"/>
          <w:szCs w:val="20"/>
          <w:lang w:val="tr-TR"/>
        </w:rPr>
        <w:t xml:space="preserve">Grup, </w:t>
      </w:r>
      <w:r>
        <w:rPr>
          <w:rFonts w:ascii="Arial" w:eastAsiaTheme="minorEastAsia" w:hAnsi="Arial" w:cs="Arial"/>
          <w:b/>
          <w:sz w:val="20"/>
          <w:szCs w:val="20"/>
          <w:lang w:val="tr-TR"/>
        </w:rPr>
        <w:t xml:space="preserve">Avrupa </w:t>
      </w:r>
      <w:r>
        <w:rPr>
          <w:rFonts w:ascii="Arial" w:eastAsiaTheme="minorEastAsia" w:hAnsi="Arial" w:cs="Arial"/>
          <w:sz w:val="20"/>
          <w:szCs w:val="20"/>
          <w:lang w:val="tr-TR"/>
        </w:rPr>
        <w:t>pazarının canlığından istifade etmeyi sürdürdü</w:t>
      </w:r>
      <w:r w:rsidR="00F81381" w:rsidRPr="00461C2B">
        <w:rPr>
          <w:rFonts w:ascii="Arial" w:eastAsiaTheme="minorEastAsia" w:hAnsi="Arial" w:cs="Arial"/>
          <w:sz w:val="20"/>
          <w:szCs w:val="20"/>
          <w:lang w:val="tr-TR"/>
        </w:rPr>
        <w:t xml:space="preserve">. </w:t>
      </w:r>
      <w:r w:rsidR="00EC5B9F">
        <w:rPr>
          <w:rFonts w:ascii="Arial" w:eastAsia="Times New Roman" w:hAnsi="Arial" w:cs="Arial"/>
          <w:bCs/>
          <w:sz w:val="20"/>
          <w:szCs w:val="20"/>
          <w:lang w:val="tr-TR"/>
        </w:rPr>
        <w:t xml:space="preserve">Yüzde </w:t>
      </w:r>
      <w:r w:rsidRPr="0006183E">
        <w:rPr>
          <w:rFonts w:ascii="Arial" w:eastAsia="Times New Roman" w:hAnsi="Arial" w:cs="Arial"/>
          <w:bCs/>
          <w:sz w:val="20"/>
          <w:szCs w:val="20"/>
          <w:lang w:val="tr-TR"/>
        </w:rPr>
        <w:t>8.2 oranında yükselme göst</w:t>
      </w:r>
      <w:r w:rsidR="00EC5B9F">
        <w:rPr>
          <w:rFonts w:ascii="Arial" w:eastAsia="Times New Roman" w:hAnsi="Arial" w:cs="Arial"/>
          <w:bCs/>
          <w:sz w:val="20"/>
          <w:szCs w:val="20"/>
          <w:lang w:val="tr-TR"/>
        </w:rPr>
        <w:t xml:space="preserve">eren bu pazarda araç satışları yüzde </w:t>
      </w:r>
      <w:r w:rsidRPr="0006183E">
        <w:rPr>
          <w:rFonts w:ascii="Arial" w:eastAsia="Times New Roman" w:hAnsi="Arial" w:cs="Arial"/>
          <w:bCs/>
          <w:sz w:val="20"/>
          <w:szCs w:val="20"/>
          <w:lang w:val="tr-TR"/>
        </w:rPr>
        <w:t>8.9 arttı</w:t>
      </w:r>
      <w:r w:rsidRPr="00461C2B">
        <w:rPr>
          <w:rFonts w:ascii="Arial" w:eastAsiaTheme="minorEastAsia" w:hAnsi="Arial" w:cs="Arial"/>
          <w:sz w:val="20"/>
          <w:szCs w:val="20"/>
          <w:lang w:val="tr-TR"/>
        </w:rPr>
        <w:t xml:space="preserve"> </w:t>
      </w:r>
      <w:r w:rsidR="00EC5B9F">
        <w:rPr>
          <w:rFonts w:ascii="Arial" w:eastAsiaTheme="minorEastAsia" w:hAnsi="Arial" w:cs="Arial"/>
          <w:sz w:val="20"/>
          <w:szCs w:val="20"/>
          <w:lang w:val="tr-TR"/>
        </w:rPr>
        <w:t xml:space="preserve">ve pazar payı yüzde </w:t>
      </w:r>
      <w:r w:rsidR="00F81381" w:rsidRPr="00461C2B">
        <w:rPr>
          <w:rFonts w:ascii="Arial" w:eastAsiaTheme="minorEastAsia" w:hAnsi="Arial" w:cs="Arial"/>
          <w:sz w:val="20"/>
          <w:szCs w:val="20"/>
          <w:lang w:val="tr-TR"/>
        </w:rPr>
        <w:t>9.8</w:t>
      </w:r>
      <w:r>
        <w:rPr>
          <w:rFonts w:ascii="Arial" w:eastAsiaTheme="minorEastAsia" w:hAnsi="Arial" w:cs="Arial"/>
          <w:sz w:val="20"/>
          <w:szCs w:val="20"/>
          <w:lang w:val="tr-TR"/>
        </w:rPr>
        <w:t>’e erişti</w:t>
      </w:r>
      <w:r w:rsidR="00F81381" w:rsidRPr="00461C2B">
        <w:rPr>
          <w:rFonts w:ascii="Arial" w:eastAsiaTheme="minorEastAsia" w:hAnsi="Arial" w:cs="Arial"/>
          <w:sz w:val="20"/>
          <w:szCs w:val="20"/>
          <w:lang w:val="tr-TR"/>
        </w:rPr>
        <w:t xml:space="preserve">. </w:t>
      </w:r>
      <w:r>
        <w:rPr>
          <w:rFonts w:ascii="Arial" w:eastAsiaTheme="minorEastAsia" w:hAnsi="Arial" w:cs="Arial"/>
          <w:sz w:val="20"/>
          <w:szCs w:val="20"/>
          <w:lang w:val="tr-TR"/>
        </w:rPr>
        <w:t>Renault markası satışlar</w:t>
      </w:r>
      <w:r w:rsidR="00EC5B9F">
        <w:rPr>
          <w:rFonts w:ascii="Arial" w:eastAsiaTheme="minorEastAsia" w:hAnsi="Arial" w:cs="Arial"/>
          <w:sz w:val="20"/>
          <w:szCs w:val="20"/>
          <w:lang w:val="tr-TR"/>
        </w:rPr>
        <w:t>ı</w:t>
      </w:r>
      <w:r>
        <w:rPr>
          <w:rFonts w:ascii="Arial" w:eastAsiaTheme="minorEastAsia" w:hAnsi="Arial" w:cs="Arial"/>
          <w:sz w:val="20"/>
          <w:szCs w:val="20"/>
          <w:lang w:val="tr-TR"/>
        </w:rPr>
        <w:t xml:space="preserve"> </w:t>
      </w:r>
      <w:proofErr w:type="spellStart"/>
      <w:r w:rsidRPr="00461C2B">
        <w:rPr>
          <w:rFonts w:ascii="Arial" w:eastAsiaTheme="minorEastAsia" w:hAnsi="Arial" w:cs="Arial"/>
          <w:sz w:val="20"/>
          <w:szCs w:val="20"/>
          <w:lang w:val="tr-TR"/>
        </w:rPr>
        <w:t>Clio</w:t>
      </w:r>
      <w:proofErr w:type="spellEnd"/>
      <w:r w:rsidRPr="00461C2B">
        <w:rPr>
          <w:rFonts w:ascii="Arial" w:eastAsiaTheme="minorEastAsia" w:hAnsi="Arial" w:cs="Arial"/>
          <w:sz w:val="20"/>
          <w:szCs w:val="20"/>
          <w:lang w:val="tr-TR"/>
        </w:rPr>
        <w:t xml:space="preserve"> IV (</w:t>
      </w:r>
      <w:r>
        <w:rPr>
          <w:rFonts w:ascii="Arial" w:eastAsiaTheme="minorEastAsia" w:hAnsi="Arial" w:cs="Arial"/>
          <w:sz w:val="20"/>
          <w:szCs w:val="20"/>
          <w:lang w:val="tr-TR"/>
        </w:rPr>
        <w:t>Avrupa’nın en çok satan ikinci otomobili</w:t>
      </w:r>
      <w:r w:rsidRPr="00461C2B">
        <w:rPr>
          <w:rFonts w:ascii="Arial" w:eastAsiaTheme="minorEastAsia" w:hAnsi="Arial" w:cs="Arial"/>
          <w:sz w:val="20"/>
          <w:szCs w:val="20"/>
          <w:lang w:val="tr-TR"/>
        </w:rPr>
        <w:t xml:space="preserve">) </w:t>
      </w:r>
      <w:r>
        <w:rPr>
          <w:rFonts w:ascii="Arial" w:eastAsiaTheme="minorEastAsia" w:hAnsi="Arial" w:cs="Arial"/>
          <w:sz w:val="20"/>
          <w:szCs w:val="20"/>
          <w:lang w:val="tr-TR"/>
        </w:rPr>
        <w:t xml:space="preserve">ve </w:t>
      </w:r>
      <w:proofErr w:type="spellStart"/>
      <w:r w:rsidRPr="00461C2B">
        <w:rPr>
          <w:rFonts w:ascii="Arial" w:eastAsiaTheme="minorEastAsia" w:hAnsi="Arial" w:cs="Arial"/>
          <w:sz w:val="20"/>
          <w:szCs w:val="20"/>
          <w:lang w:val="tr-TR"/>
        </w:rPr>
        <w:t>Captur</w:t>
      </w:r>
      <w:proofErr w:type="spellEnd"/>
      <w:r w:rsidRPr="00461C2B">
        <w:rPr>
          <w:rFonts w:ascii="Arial" w:eastAsiaTheme="minorEastAsia" w:hAnsi="Arial" w:cs="Arial"/>
          <w:sz w:val="20"/>
          <w:szCs w:val="20"/>
          <w:lang w:val="tr-TR"/>
        </w:rPr>
        <w:t xml:space="preserve">, </w:t>
      </w:r>
      <w:proofErr w:type="spellStart"/>
      <w:r w:rsidRPr="00461C2B">
        <w:rPr>
          <w:rFonts w:ascii="Arial" w:eastAsiaTheme="minorEastAsia" w:hAnsi="Arial" w:cs="Arial"/>
          <w:sz w:val="20"/>
          <w:szCs w:val="20"/>
          <w:lang w:val="tr-TR"/>
        </w:rPr>
        <w:t>Kadjar</w:t>
      </w:r>
      <w:proofErr w:type="spellEnd"/>
      <w:r w:rsidRPr="00461C2B">
        <w:rPr>
          <w:rFonts w:ascii="Arial" w:eastAsiaTheme="minorEastAsia" w:hAnsi="Arial" w:cs="Arial"/>
          <w:sz w:val="20"/>
          <w:szCs w:val="20"/>
          <w:lang w:val="tr-TR"/>
        </w:rPr>
        <w:t xml:space="preserve">, </w:t>
      </w:r>
      <w:proofErr w:type="spellStart"/>
      <w:r w:rsidRPr="00461C2B">
        <w:rPr>
          <w:rFonts w:ascii="Arial" w:eastAsiaTheme="minorEastAsia" w:hAnsi="Arial" w:cs="Arial"/>
          <w:sz w:val="20"/>
          <w:szCs w:val="20"/>
          <w:lang w:val="tr-TR"/>
        </w:rPr>
        <w:t>Espace</w:t>
      </w:r>
      <w:proofErr w:type="spellEnd"/>
      <w:r w:rsidRPr="00461C2B">
        <w:rPr>
          <w:rFonts w:ascii="Arial" w:eastAsiaTheme="minorEastAsia" w:hAnsi="Arial" w:cs="Arial"/>
          <w:sz w:val="20"/>
          <w:szCs w:val="20"/>
          <w:lang w:val="tr-TR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tr-TR"/>
        </w:rPr>
        <w:t>ve</w:t>
      </w:r>
      <w:r w:rsidRPr="00461C2B">
        <w:rPr>
          <w:rFonts w:ascii="Arial" w:eastAsiaTheme="minorEastAsia" w:hAnsi="Arial" w:cs="Arial"/>
          <w:sz w:val="20"/>
          <w:szCs w:val="20"/>
          <w:lang w:val="tr-TR"/>
        </w:rPr>
        <w:t xml:space="preserve"> </w:t>
      </w:r>
      <w:proofErr w:type="spellStart"/>
      <w:r w:rsidRPr="00461C2B">
        <w:rPr>
          <w:rFonts w:ascii="Arial" w:eastAsiaTheme="minorEastAsia" w:hAnsi="Arial" w:cs="Arial"/>
          <w:sz w:val="20"/>
          <w:szCs w:val="20"/>
          <w:lang w:val="tr-TR"/>
        </w:rPr>
        <w:t>Talisman</w:t>
      </w:r>
      <w:proofErr w:type="spellEnd"/>
      <w:r w:rsidR="00EC5B9F">
        <w:rPr>
          <w:rFonts w:ascii="Arial" w:eastAsiaTheme="minorEastAsia" w:hAnsi="Arial" w:cs="Arial"/>
          <w:sz w:val="20"/>
          <w:szCs w:val="20"/>
          <w:lang w:val="tr-TR"/>
        </w:rPr>
        <w:t xml:space="preserve"> sayesinde yüzde </w:t>
      </w:r>
      <w:r>
        <w:rPr>
          <w:rFonts w:ascii="Arial" w:eastAsiaTheme="minorEastAsia" w:hAnsi="Arial" w:cs="Arial"/>
          <w:sz w:val="20"/>
          <w:szCs w:val="20"/>
          <w:lang w:val="tr-TR"/>
        </w:rPr>
        <w:t>9.9 oranında büyüdü</w:t>
      </w:r>
      <w:r w:rsidR="00F81381" w:rsidRPr="00461C2B">
        <w:rPr>
          <w:rFonts w:ascii="Arial" w:eastAsiaTheme="minorEastAsia" w:hAnsi="Arial" w:cs="Arial"/>
          <w:sz w:val="20"/>
          <w:szCs w:val="20"/>
          <w:lang w:val="tr-TR"/>
        </w:rPr>
        <w:t xml:space="preserve">. </w:t>
      </w:r>
      <w:r>
        <w:rPr>
          <w:rFonts w:ascii="Arial" w:eastAsiaTheme="minorEastAsia" w:hAnsi="Arial" w:cs="Arial"/>
          <w:sz w:val="20"/>
          <w:szCs w:val="20"/>
          <w:lang w:val="tr-TR"/>
        </w:rPr>
        <w:t>İlk çey</w:t>
      </w:r>
      <w:r w:rsidR="00EC5B9F">
        <w:rPr>
          <w:rFonts w:ascii="Arial" w:eastAsiaTheme="minorEastAsia" w:hAnsi="Arial" w:cs="Arial"/>
          <w:sz w:val="20"/>
          <w:szCs w:val="20"/>
          <w:lang w:val="tr-TR"/>
        </w:rPr>
        <w:t>rekte lanse edilen Y</w:t>
      </w:r>
      <w:r>
        <w:rPr>
          <w:rFonts w:ascii="Arial" w:eastAsiaTheme="minorEastAsia" w:hAnsi="Arial" w:cs="Arial"/>
          <w:sz w:val="20"/>
          <w:szCs w:val="20"/>
          <w:lang w:val="tr-TR"/>
        </w:rPr>
        <w:t xml:space="preserve">eni </w:t>
      </w:r>
      <w:proofErr w:type="spellStart"/>
      <w:r>
        <w:rPr>
          <w:rFonts w:ascii="Arial" w:eastAsiaTheme="minorEastAsia" w:hAnsi="Arial" w:cs="Arial"/>
          <w:sz w:val="20"/>
          <w:szCs w:val="20"/>
          <w:lang w:val="tr-TR"/>
        </w:rPr>
        <w:t>Megan</w:t>
      </w:r>
      <w:r w:rsidR="00362962">
        <w:rPr>
          <w:rFonts w:ascii="Arial" w:eastAsiaTheme="minorEastAsia" w:hAnsi="Arial" w:cs="Arial"/>
          <w:sz w:val="20"/>
          <w:szCs w:val="20"/>
          <w:lang w:val="tr-TR"/>
        </w:rPr>
        <w:t>e</w:t>
      </w:r>
      <w:r>
        <w:rPr>
          <w:rFonts w:ascii="Arial" w:eastAsiaTheme="minorEastAsia" w:hAnsi="Arial" w:cs="Arial"/>
          <w:sz w:val="20"/>
          <w:szCs w:val="20"/>
          <w:lang w:val="tr-TR"/>
        </w:rPr>
        <w:t>’ın</w:t>
      </w:r>
      <w:proofErr w:type="spellEnd"/>
      <w:r>
        <w:rPr>
          <w:rFonts w:ascii="Arial" w:eastAsiaTheme="minorEastAsia" w:hAnsi="Arial" w:cs="Arial"/>
          <w:sz w:val="20"/>
          <w:szCs w:val="20"/>
          <w:lang w:val="tr-TR"/>
        </w:rPr>
        <w:t xml:space="preserve"> tam etkisi henüz hissedilmedi. </w:t>
      </w:r>
      <w:r w:rsidR="00F81381" w:rsidRPr="00461C2B">
        <w:rPr>
          <w:rFonts w:ascii="Arial" w:eastAsiaTheme="minorEastAsia" w:hAnsi="Arial" w:cs="Arial"/>
          <w:sz w:val="20"/>
          <w:szCs w:val="20"/>
          <w:lang w:val="tr-TR"/>
        </w:rPr>
        <w:t xml:space="preserve">Dacia </w:t>
      </w:r>
      <w:r w:rsidR="00EC5B9F">
        <w:rPr>
          <w:rFonts w:ascii="Arial" w:eastAsiaTheme="minorEastAsia" w:hAnsi="Arial" w:cs="Arial"/>
          <w:sz w:val="20"/>
          <w:szCs w:val="20"/>
          <w:lang w:val="tr-TR"/>
        </w:rPr>
        <w:t xml:space="preserve">markası </w:t>
      </w:r>
      <w:r>
        <w:rPr>
          <w:rFonts w:ascii="Arial" w:eastAsiaTheme="minorEastAsia" w:hAnsi="Arial" w:cs="Arial"/>
          <w:sz w:val="20"/>
          <w:szCs w:val="20"/>
          <w:lang w:val="tr-TR"/>
        </w:rPr>
        <w:t>satışlar</w:t>
      </w:r>
      <w:r w:rsidR="00EC5B9F">
        <w:rPr>
          <w:rFonts w:ascii="Arial" w:eastAsiaTheme="minorEastAsia" w:hAnsi="Arial" w:cs="Arial"/>
          <w:sz w:val="20"/>
          <w:szCs w:val="20"/>
          <w:lang w:val="tr-TR"/>
        </w:rPr>
        <w:t>ı</w:t>
      </w:r>
      <w:r>
        <w:rPr>
          <w:rFonts w:ascii="Arial" w:eastAsiaTheme="minorEastAsia" w:hAnsi="Arial" w:cs="Arial"/>
          <w:sz w:val="20"/>
          <w:szCs w:val="20"/>
          <w:lang w:val="tr-TR"/>
        </w:rPr>
        <w:t xml:space="preserve"> ise </w:t>
      </w:r>
      <w:r w:rsidR="00EC5B9F">
        <w:rPr>
          <w:rFonts w:ascii="Arial" w:eastAsiaTheme="minorEastAsia" w:hAnsi="Arial" w:cs="Arial"/>
          <w:sz w:val="20"/>
          <w:szCs w:val="20"/>
          <w:lang w:val="tr-TR"/>
        </w:rPr>
        <w:t xml:space="preserve">büyük oranda </w:t>
      </w:r>
      <w:proofErr w:type="spellStart"/>
      <w:r w:rsidR="00EC5B9F">
        <w:rPr>
          <w:rFonts w:ascii="Arial" w:eastAsiaTheme="minorEastAsia" w:hAnsi="Arial" w:cs="Arial"/>
          <w:sz w:val="20"/>
          <w:szCs w:val="20"/>
          <w:lang w:val="tr-TR"/>
        </w:rPr>
        <w:t>Sandero</w:t>
      </w:r>
      <w:proofErr w:type="spellEnd"/>
      <w:r w:rsidR="00EC5B9F">
        <w:rPr>
          <w:rFonts w:ascii="Arial" w:eastAsiaTheme="minorEastAsia" w:hAnsi="Arial" w:cs="Arial"/>
          <w:sz w:val="20"/>
          <w:szCs w:val="20"/>
          <w:lang w:val="tr-TR"/>
        </w:rPr>
        <w:t xml:space="preserve"> sayesinde yüzde </w:t>
      </w:r>
      <w:r>
        <w:rPr>
          <w:rFonts w:ascii="Arial" w:eastAsiaTheme="minorEastAsia" w:hAnsi="Arial" w:cs="Arial"/>
          <w:sz w:val="20"/>
          <w:szCs w:val="20"/>
          <w:lang w:val="tr-TR"/>
        </w:rPr>
        <w:t>5.7 arttı</w:t>
      </w:r>
      <w:r w:rsidR="00F81381" w:rsidRPr="00461C2B">
        <w:rPr>
          <w:rFonts w:ascii="Arial" w:eastAsiaTheme="minorEastAsia" w:hAnsi="Arial" w:cs="Arial"/>
          <w:sz w:val="20"/>
          <w:szCs w:val="20"/>
          <w:lang w:val="tr-TR"/>
        </w:rPr>
        <w:t>.</w:t>
      </w:r>
    </w:p>
    <w:p w:rsidR="00F81381" w:rsidRPr="00461C2B" w:rsidRDefault="0035129B" w:rsidP="00F81381">
      <w:pPr>
        <w:widowControl/>
        <w:spacing w:before="120" w:after="0" w:line="288" w:lineRule="auto"/>
        <w:jc w:val="both"/>
        <w:textAlignment w:val="top"/>
        <w:rPr>
          <w:rFonts w:ascii="Arial" w:eastAsiaTheme="minorEastAsia" w:hAnsi="Arial" w:cs="Arial"/>
          <w:sz w:val="20"/>
          <w:szCs w:val="20"/>
          <w:lang w:val="tr-TR"/>
        </w:rPr>
      </w:pPr>
      <w:r>
        <w:rPr>
          <w:rFonts w:ascii="Arial" w:eastAsiaTheme="minorEastAsia" w:hAnsi="Arial" w:cs="Arial"/>
          <w:sz w:val="20"/>
          <w:szCs w:val="20"/>
          <w:lang w:val="tr-TR"/>
        </w:rPr>
        <w:t xml:space="preserve">Grup, yılın ilk çeyreğinde </w:t>
      </w:r>
      <w:r w:rsidR="00F81381" w:rsidRPr="00461C2B">
        <w:rPr>
          <w:rFonts w:ascii="Arial" w:eastAsiaTheme="minorEastAsia" w:hAnsi="Arial" w:cs="Arial"/>
          <w:b/>
          <w:sz w:val="20"/>
          <w:szCs w:val="20"/>
          <w:lang w:val="tr-TR"/>
        </w:rPr>
        <w:t>Fran</w:t>
      </w:r>
      <w:r>
        <w:rPr>
          <w:rFonts w:ascii="Arial" w:eastAsiaTheme="minorEastAsia" w:hAnsi="Arial" w:cs="Arial"/>
          <w:b/>
          <w:sz w:val="20"/>
          <w:szCs w:val="20"/>
          <w:lang w:val="tr-TR"/>
        </w:rPr>
        <w:t>sa’da</w:t>
      </w:r>
      <w:r>
        <w:rPr>
          <w:rFonts w:ascii="Arial" w:eastAsiaTheme="minorEastAsia" w:hAnsi="Arial" w:cs="Arial"/>
          <w:sz w:val="20"/>
          <w:szCs w:val="20"/>
          <w:lang w:val="tr-TR"/>
        </w:rPr>
        <w:t xml:space="preserve"> </w:t>
      </w:r>
      <w:r w:rsidR="00EC5B9F">
        <w:rPr>
          <w:rFonts w:ascii="Arial" w:eastAsiaTheme="minorEastAsia" w:hAnsi="Arial" w:cs="Arial"/>
          <w:sz w:val="20"/>
          <w:szCs w:val="20"/>
          <w:lang w:val="tr-TR"/>
        </w:rPr>
        <w:t xml:space="preserve">163 bin </w:t>
      </w:r>
      <w:r w:rsidRPr="00461C2B">
        <w:rPr>
          <w:rFonts w:ascii="Arial" w:eastAsiaTheme="minorEastAsia" w:hAnsi="Arial" w:cs="Arial"/>
          <w:sz w:val="20"/>
          <w:szCs w:val="20"/>
          <w:lang w:val="tr-TR"/>
        </w:rPr>
        <w:t xml:space="preserve">104 </w:t>
      </w:r>
      <w:r w:rsidR="00EC5B9F">
        <w:rPr>
          <w:rFonts w:ascii="Arial" w:eastAsiaTheme="minorEastAsia" w:hAnsi="Arial" w:cs="Arial"/>
          <w:sz w:val="20"/>
          <w:szCs w:val="20"/>
          <w:lang w:val="tr-TR"/>
        </w:rPr>
        <w:t xml:space="preserve">adetlik satış gerçekleştirerek yüzde </w:t>
      </w:r>
      <w:r>
        <w:rPr>
          <w:rFonts w:ascii="Arial" w:eastAsiaTheme="minorEastAsia" w:hAnsi="Arial" w:cs="Arial"/>
          <w:sz w:val="20"/>
          <w:szCs w:val="20"/>
          <w:lang w:val="tr-TR"/>
        </w:rPr>
        <w:t xml:space="preserve">8.6 artış gerçekleştirdi. </w:t>
      </w:r>
      <w:r w:rsidR="00F81381" w:rsidRPr="00461C2B">
        <w:rPr>
          <w:rFonts w:ascii="Arial" w:eastAsiaTheme="minorEastAsia" w:hAnsi="Arial" w:cs="Arial"/>
          <w:sz w:val="20"/>
          <w:szCs w:val="20"/>
          <w:lang w:val="tr-TR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tr-TR"/>
        </w:rPr>
        <w:t xml:space="preserve">Pazar </w:t>
      </w:r>
      <w:r w:rsidR="00EC5B9F">
        <w:rPr>
          <w:rFonts w:ascii="Arial" w:eastAsiaTheme="minorEastAsia" w:hAnsi="Arial" w:cs="Arial"/>
          <w:sz w:val="20"/>
          <w:szCs w:val="20"/>
          <w:lang w:val="tr-TR"/>
        </w:rPr>
        <w:t xml:space="preserve">payı ise yüzde </w:t>
      </w:r>
      <w:r>
        <w:rPr>
          <w:rFonts w:ascii="Arial" w:eastAsiaTheme="minorEastAsia" w:hAnsi="Arial" w:cs="Arial"/>
          <w:sz w:val="20"/>
          <w:szCs w:val="20"/>
          <w:lang w:val="tr-TR"/>
        </w:rPr>
        <w:t>26.5 ile sabit kaldı</w:t>
      </w:r>
      <w:r w:rsidR="00025842" w:rsidRPr="00461C2B">
        <w:rPr>
          <w:rFonts w:ascii="Arial" w:eastAsiaTheme="minorEastAsia" w:hAnsi="Arial" w:cs="Arial"/>
          <w:sz w:val="20"/>
          <w:szCs w:val="20"/>
          <w:lang w:val="tr-TR"/>
        </w:rPr>
        <w:t>.</w:t>
      </w:r>
      <w:r w:rsidR="00F81381" w:rsidRPr="00461C2B">
        <w:rPr>
          <w:rFonts w:ascii="Arial" w:eastAsiaTheme="minorEastAsia" w:hAnsi="Arial" w:cs="Arial"/>
          <w:sz w:val="20"/>
          <w:szCs w:val="20"/>
          <w:lang w:val="tr-TR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tr-TR"/>
        </w:rPr>
        <w:t>Grup</w:t>
      </w:r>
      <w:r w:rsidR="00EC5B9F">
        <w:rPr>
          <w:rFonts w:ascii="Arial" w:eastAsiaTheme="minorEastAsia" w:hAnsi="Arial" w:cs="Arial"/>
          <w:sz w:val="20"/>
          <w:szCs w:val="20"/>
          <w:lang w:val="tr-TR"/>
        </w:rPr>
        <w:t xml:space="preserve">’un 4 modeli </w:t>
      </w:r>
      <w:r>
        <w:rPr>
          <w:rFonts w:ascii="Arial" w:eastAsiaTheme="minorEastAsia" w:hAnsi="Arial" w:cs="Arial"/>
          <w:sz w:val="20"/>
          <w:szCs w:val="20"/>
          <w:lang w:val="tr-TR"/>
        </w:rPr>
        <w:t>, “En Çok</w:t>
      </w:r>
      <w:r w:rsidR="00EC5B9F">
        <w:rPr>
          <w:rFonts w:ascii="Arial" w:eastAsiaTheme="minorEastAsia" w:hAnsi="Arial" w:cs="Arial"/>
          <w:sz w:val="20"/>
          <w:szCs w:val="20"/>
          <w:lang w:val="tr-TR"/>
        </w:rPr>
        <w:t xml:space="preserve"> Satan 10 Otomobil” sıralamasında yer alıyor</w:t>
      </w:r>
      <w:r>
        <w:rPr>
          <w:rFonts w:ascii="Arial" w:eastAsiaTheme="minorEastAsia" w:hAnsi="Arial" w:cs="Arial"/>
          <w:sz w:val="20"/>
          <w:szCs w:val="20"/>
          <w:lang w:val="tr-TR"/>
        </w:rPr>
        <w:t xml:space="preserve">; </w:t>
      </w:r>
      <w:proofErr w:type="spellStart"/>
      <w:r w:rsidR="00F81381" w:rsidRPr="00461C2B">
        <w:rPr>
          <w:rFonts w:ascii="Arial" w:eastAsiaTheme="minorEastAsia" w:hAnsi="Arial" w:cs="Arial"/>
          <w:sz w:val="20"/>
          <w:szCs w:val="20"/>
          <w:lang w:val="tr-TR"/>
        </w:rPr>
        <w:t>Clio</w:t>
      </w:r>
      <w:proofErr w:type="spellEnd"/>
      <w:r w:rsidR="00F81381" w:rsidRPr="00461C2B">
        <w:rPr>
          <w:rFonts w:ascii="Arial" w:eastAsiaTheme="minorEastAsia" w:hAnsi="Arial" w:cs="Arial"/>
          <w:sz w:val="20"/>
          <w:szCs w:val="20"/>
          <w:lang w:val="tr-TR"/>
        </w:rPr>
        <w:t xml:space="preserve"> IV </w:t>
      </w:r>
      <w:r>
        <w:rPr>
          <w:rFonts w:ascii="Arial" w:eastAsiaTheme="minorEastAsia" w:hAnsi="Arial" w:cs="Arial"/>
          <w:sz w:val="20"/>
          <w:szCs w:val="20"/>
          <w:lang w:val="tr-TR"/>
        </w:rPr>
        <w:t>bu sıralamada bir numarada yer aldı</w:t>
      </w:r>
      <w:r w:rsidR="00F81381" w:rsidRPr="00461C2B">
        <w:rPr>
          <w:rFonts w:ascii="Arial" w:eastAsiaTheme="minorEastAsia" w:hAnsi="Arial" w:cs="Arial"/>
          <w:sz w:val="20"/>
          <w:szCs w:val="20"/>
          <w:lang w:val="tr-TR"/>
        </w:rPr>
        <w:t xml:space="preserve">. </w:t>
      </w:r>
      <w:r>
        <w:rPr>
          <w:rFonts w:ascii="Arial" w:eastAsiaTheme="minorEastAsia" w:hAnsi="Arial" w:cs="Arial"/>
          <w:sz w:val="20"/>
          <w:szCs w:val="20"/>
          <w:lang w:val="tr-TR"/>
        </w:rPr>
        <w:t>Renault markası beş yıldır ilk kez</w:t>
      </w:r>
      <w:r w:rsidR="00362962">
        <w:rPr>
          <w:rFonts w:ascii="Arial" w:eastAsiaTheme="minorEastAsia" w:hAnsi="Arial" w:cs="Arial"/>
          <w:sz w:val="20"/>
          <w:szCs w:val="20"/>
          <w:lang w:val="tr-TR"/>
        </w:rPr>
        <w:t>,</w:t>
      </w:r>
      <w:r>
        <w:rPr>
          <w:rFonts w:ascii="Arial" w:eastAsiaTheme="minorEastAsia" w:hAnsi="Arial" w:cs="Arial"/>
          <w:sz w:val="20"/>
          <w:szCs w:val="20"/>
          <w:lang w:val="tr-TR"/>
        </w:rPr>
        <w:t xml:space="preserve"> </w:t>
      </w:r>
      <w:r w:rsidR="00557E5B">
        <w:rPr>
          <w:rFonts w:ascii="Arial" w:eastAsiaTheme="minorEastAsia" w:hAnsi="Arial" w:cs="Arial"/>
          <w:sz w:val="20"/>
          <w:szCs w:val="20"/>
          <w:lang w:val="tr-TR"/>
        </w:rPr>
        <w:t xml:space="preserve">ilk üç aylık süreçte </w:t>
      </w:r>
      <w:r w:rsidR="00EC5B9F">
        <w:rPr>
          <w:rFonts w:ascii="Arial" w:eastAsiaTheme="minorEastAsia" w:hAnsi="Arial" w:cs="Arial"/>
          <w:sz w:val="20"/>
          <w:szCs w:val="20"/>
          <w:lang w:val="tr-TR"/>
        </w:rPr>
        <w:t xml:space="preserve">100 </w:t>
      </w:r>
      <w:proofErr w:type="spellStart"/>
      <w:r w:rsidR="00EC5B9F">
        <w:rPr>
          <w:rFonts w:ascii="Arial" w:eastAsiaTheme="minorEastAsia" w:hAnsi="Arial" w:cs="Arial"/>
          <w:sz w:val="20"/>
          <w:szCs w:val="20"/>
          <w:lang w:val="tr-TR"/>
        </w:rPr>
        <w:t>bin</w:t>
      </w:r>
      <w:r w:rsidR="00557E5B">
        <w:rPr>
          <w:rFonts w:ascii="Arial" w:eastAsiaTheme="minorEastAsia" w:hAnsi="Arial" w:cs="Arial"/>
          <w:sz w:val="20"/>
          <w:szCs w:val="20"/>
          <w:lang w:val="tr-TR"/>
        </w:rPr>
        <w:t>’den</w:t>
      </w:r>
      <w:proofErr w:type="spellEnd"/>
      <w:r w:rsidR="00557E5B">
        <w:rPr>
          <w:rFonts w:ascii="Arial" w:eastAsiaTheme="minorEastAsia" w:hAnsi="Arial" w:cs="Arial"/>
          <w:sz w:val="20"/>
          <w:szCs w:val="20"/>
          <w:lang w:val="tr-TR"/>
        </w:rPr>
        <w:t xml:space="preserve"> fazla binek otomobil sattı. </w:t>
      </w:r>
      <w:r w:rsidR="00F81381" w:rsidRPr="00461C2B">
        <w:rPr>
          <w:rFonts w:ascii="Arial" w:eastAsiaTheme="minorEastAsia" w:hAnsi="Arial" w:cs="Arial"/>
          <w:sz w:val="20"/>
          <w:szCs w:val="20"/>
          <w:lang w:val="tr-TR"/>
        </w:rPr>
        <w:t xml:space="preserve">Dacia </w:t>
      </w:r>
      <w:r w:rsidR="00557E5B">
        <w:rPr>
          <w:rFonts w:ascii="Arial" w:eastAsiaTheme="minorEastAsia" w:hAnsi="Arial" w:cs="Arial"/>
          <w:sz w:val="20"/>
          <w:szCs w:val="20"/>
          <w:lang w:val="tr-TR"/>
        </w:rPr>
        <w:t>markasınd</w:t>
      </w:r>
      <w:r w:rsidR="00EC5B9F">
        <w:rPr>
          <w:rFonts w:ascii="Arial" w:eastAsiaTheme="minorEastAsia" w:hAnsi="Arial" w:cs="Arial"/>
          <w:sz w:val="20"/>
          <w:szCs w:val="20"/>
          <w:lang w:val="tr-TR"/>
        </w:rPr>
        <w:t xml:space="preserve">a ise binek otomobil satışları yüzde </w:t>
      </w:r>
      <w:r w:rsidR="00557E5B">
        <w:rPr>
          <w:rFonts w:ascii="Arial" w:eastAsiaTheme="minorEastAsia" w:hAnsi="Arial" w:cs="Arial"/>
          <w:sz w:val="20"/>
          <w:szCs w:val="20"/>
          <w:lang w:val="tr-TR"/>
        </w:rPr>
        <w:t>16.8 arttı</w:t>
      </w:r>
      <w:r w:rsidR="00F81381" w:rsidRPr="00461C2B">
        <w:rPr>
          <w:rFonts w:ascii="Arial" w:eastAsiaTheme="minorEastAsia" w:hAnsi="Arial" w:cs="Arial"/>
          <w:sz w:val="20"/>
          <w:szCs w:val="20"/>
          <w:lang w:val="tr-TR"/>
        </w:rPr>
        <w:t xml:space="preserve">. </w:t>
      </w:r>
      <w:r w:rsidR="002C07E7">
        <w:rPr>
          <w:rFonts w:ascii="Arial" w:eastAsiaTheme="minorEastAsia" w:hAnsi="Arial" w:cs="Arial"/>
          <w:sz w:val="20"/>
          <w:szCs w:val="20"/>
          <w:lang w:val="tr-TR"/>
        </w:rPr>
        <w:t xml:space="preserve">                                                                                                                                          </w:t>
      </w:r>
    </w:p>
    <w:p w:rsidR="00574241" w:rsidRPr="00461C2B" w:rsidRDefault="00557E5B" w:rsidP="00C957A6">
      <w:pPr>
        <w:widowControl/>
        <w:spacing w:before="120" w:after="0" w:line="288" w:lineRule="auto"/>
        <w:jc w:val="both"/>
        <w:textAlignment w:val="top"/>
        <w:rPr>
          <w:rFonts w:ascii="Arial" w:eastAsiaTheme="minorEastAsia" w:hAnsi="Arial" w:cs="Arial"/>
          <w:sz w:val="20"/>
          <w:szCs w:val="20"/>
          <w:lang w:val="tr-TR"/>
        </w:rPr>
      </w:pPr>
      <w:r>
        <w:rPr>
          <w:rFonts w:ascii="Arial" w:eastAsiaTheme="minorEastAsia" w:hAnsi="Arial" w:cs="Arial"/>
          <w:sz w:val="20"/>
          <w:szCs w:val="20"/>
          <w:lang w:val="tr-TR"/>
        </w:rPr>
        <w:lastRenderedPageBreak/>
        <w:t>Grup, Rusya ve Brezilya pazarlarında devam eden durgunluğa rağm</w:t>
      </w:r>
      <w:r w:rsidR="00EC5B9F">
        <w:rPr>
          <w:rFonts w:ascii="Arial" w:eastAsiaTheme="minorEastAsia" w:hAnsi="Arial" w:cs="Arial"/>
          <w:sz w:val="20"/>
          <w:szCs w:val="20"/>
          <w:lang w:val="tr-TR"/>
        </w:rPr>
        <w:t xml:space="preserve">en Avrupa dışındaki satışlarda yüzde </w:t>
      </w:r>
      <w:r>
        <w:rPr>
          <w:rFonts w:ascii="Arial" w:eastAsiaTheme="minorEastAsia" w:hAnsi="Arial" w:cs="Arial"/>
          <w:sz w:val="20"/>
          <w:szCs w:val="20"/>
          <w:lang w:val="tr-TR"/>
        </w:rPr>
        <w:t xml:space="preserve">4.7’lik artış </w:t>
      </w:r>
      <w:r w:rsidR="00FB4981">
        <w:rPr>
          <w:rFonts w:ascii="Arial" w:eastAsiaTheme="minorEastAsia" w:hAnsi="Arial" w:cs="Arial"/>
          <w:sz w:val="20"/>
          <w:szCs w:val="20"/>
          <w:lang w:val="tr-TR"/>
        </w:rPr>
        <w:t>k</w:t>
      </w:r>
      <w:r>
        <w:rPr>
          <w:rFonts w:ascii="Arial" w:eastAsiaTheme="minorEastAsia" w:hAnsi="Arial" w:cs="Arial"/>
          <w:sz w:val="20"/>
          <w:szCs w:val="20"/>
          <w:lang w:val="tr-TR"/>
        </w:rPr>
        <w:t xml:space="preserve">aydetti. </w:t>
      </w:r>
      <w:r w:rsidRPr="00557E5B">
        <w:rPr>
          <w:rFonts w:ascii="Arial" w:eastAsia="Times New Roman" w:hAnsi="Arial" w:cs="Arial"/>
          <w:bCs/>
          <w:sz w:val="20"/>
          <w:szCs w:val="20"/>
          <w:lang w:val="tr-TR"/>
        </w:rPr>
        <w:t>Afrika, Orta Doğu ve Hindistan Bölgelerinde</w:t>
      </w:r>
      <w:r w:rsidRPr="00461C2B">
        <w:rPr>
          <w:rFonts w:ascii="Arial" w:eastAsiaTheme="minorEastAsia" w:hAnsi="Arial" w:cs="Arial"/>
          <w:sz w:val="20"/>
          <w:szCs w:val="20"/>
          <w:lang w:val="tr-TR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tr-TR"/>
        </w:rPr>
        <w:t>gerçekleştirilen güçlü satışlar bu artışta etkili oldu</w:t>
      </w:r>
      <w:r w:rsidR="00F81381" w:rsidRPr="00461C2B">
        <w:rPr>
          <w:rFonts w:ascii="Arial" w:eastAsiaTheme="minorEastAsia" w:hAnsi="Arial" w:cs="Arial"/>
          <w:sz w:val="20"/>
          <w:szCs w:val="20"/>
          <w:lang w:val="tr-TR"/>
        </w:rPr>
        <w:t>.</w:t>
      </w:r>
      <w:r w:rsidR="00574241" w:rsidRPr="00461C2B">
        <w:rPr>
          <w:rFonts w:ascii="Arial" w:eastAsiaTheme="minorEastAsia" w:hAnsi="Arial" w:cs="Arial"/>
          <w:sz w:val="20"/>
          <w:szCs w:val="20"/>
          <w:lang w:val="tr-TR"/>
        </w:rPr>
        <w:t xml:space="preserve"> </w:t>
      </w:r>
    </w:p>
    <w:p w:rsidR="00F81381" w:rsidRPr="00557E5B" w:rsidRDefault="00557E5B" w:rsidP="00F81381">
      <w:pPr>
        <w:widowControl/>
        <w:spacing w:before="120" w:after="0" w:line="288" w:lineRule="auto"/>
        <w:jc w:val="both"/>
        <w:textAlignment w:val="top"/>
        <w:rPr>
          <w:rFonts w:ascii="Arial" w:eastAsiaTheme="minorEastAsia" w:hAnsi="Arial" w:cs="Arial"/>
          <w:sz w:val="20"/>
          <w:szCs w:val="20"/>
          <w:lang w:val="tr-TR"/>
        </w:rPr>
      </w:pPr>
      <w:r w:rsidRPr="00557E5B">
        <w:rPr>
          <w:rFonts w:ascii="Arial" w:eastAsia="Times New Roman" w:hAnsi="Arial" w:cs="Arial"/>
          <w:b/>
          <w:bCs/>
          <w:sz w:val="20"/>
          <w:szCs w:val="20"/>
          <w:lang w:val="tr-TR"/>
        </w:rPr>
        <w:t>Afrika, Orta Doğu ve Hindistan Bölgelerinde</w:t>
      </w:r>
      <w:r w:rsidRPr="00461C2B">
        <w:rPr>
          <w:rFonts w:ascii="Arial" w:eastAsiaTheme="minorEastAsia" w:hAnsi="Arial" w:cs="Arial"/>
          <w:sz w:val="20"/>
          <w:szCs w:val="20"/>
          <w:lang w:val="tr-TR"/>
        </w:rPr>
        <w:t xml:space="preserve"> </w:t>
      </w:r>
      <w:r w:rsidR="00FB4981">
        <w:rPr>
          <w:rFonts w:ascii="Arial" w:eastAsiaTheme="minorEastAsia" w:hAnsi="Arial" w:cs="Arial"/>
          <w:sz w:val="20"/>
          <w:szCs w:val="20"/>
          <w:lang w:val="tr-TR"/>
        </w:rPr>
        <w:t xml:space="preserve">Grup’un araç satışları yüzde </w:t>
      </w:r>
      <w:r w:rsidR="00F81381" w:rsidRPr="00557E5B">
        <w:rPr>
          <w:rFonts w:ascii="Arial" w:eastAsiaTheme="minorEastAsia" w:hAnsi="Arial" w:cs="Arial"/>
          <w:sz w:val="20"/>
          <w:szCs w:val="20"/>
          <w:lang w:val="tr-TR"/>
        </w:rPr>
        <w:t>36.1</w:t>
      </w:r>
      <w:r>
        <w:rPr>
          <w:rFonts w:ascii="Arial" w:eastAsiaTheme="minorEastAsia" w:hAnsi="Arial" w:cs="Arial"/>
          <w:sz w:val="20"/>
          <w:szCs w:val="20"/>
          <w:lang w:val="tr-TR"/>
        </w:rPr>
        <w:t xml:space="preserve"> oranında büyüdü. Pazar payı ise </w:t>
      </w:r>
      <w:r w:rsidR="00F81381" w:rsidRPr="00557E5B">
        <w:rPr>
          <w:rFonts w:ascii="Arial" w:eastAsiaTheme="minorEastAsia" w:hAnsi="Arial" w:cs="Arial"/>
          <w:sz w:val="20"/>
          <w:szCs w:val="20"/>
          <w:lang w:val="tr-TR"/>
        </w:rPr>
        <w:t xml:space="preserve">1.5 </w:t>
      </w:r>
      <w:r w:rsidR="00FB4981">
        <w:rPr>
          <w:rFonts w:ascii="Arial" w:eastAsiaTheme="minorEastAsia" w:hAnsi="Arial" w:cs="Arial"/>
          <w:sz w:val="20"/>
          <w:szCs w:val="20"/>
          <w:lang w:val="tr-TR"/>
        </w:rPr>
        <w:t xml:space="preserve">puanlık artışla yüzde </w:t>
      </w:r>
      <w:r>
        <w:rPr>
          <w:rFonts w:ascii="Arial" w:eastAsiaTheme="minorEastAsia" w:hAnsi="Arial" w:cs="Arial"/>
          <w:sz w:val="20"/>
          <w:szCs w:val="20"/>
          <w:lang w:val="tr-TR"/>
        </w:rPr>
        <w:t>4.6 oldu</w:t>
      </w:r>
      <w:r w:rsidR="00F81381" w:rsidRPr="00557E5B">
        <w:rPr>
          <w:rFonts w:ascii="Arial" w:eastAsiaTheme="minorEastAsia" w:hAnsi="Arial" w:cs="Arial"/>
          <w:sz w:val="20"/>
          <w:szCs w:val="20"/>
          <w:lang w:val="tr-TR"/>
        </w:rPr>
        <w:t xml:space="preserve">. </w:t>
      </w:r>
      <w:r w:rsidR="002C07E7">
        <w:rPr>
          <w:rFonts w:ascii="Arial" w:eastAsiaTheme="minorEastAsia" w:hAnsi="Arial" w:cs="Arial"/>
          <w:sz w:val="20"/>
          <w:szCs w:val="20"/>
          <w:lang w:val="tr-TR"/>
        </w:rPr>
        <w:t xml:space="preserve">                                                                                           </w:t>
      </w:r>
    </w:p>
    <w:p w:rsidR="00845FF7" w:rsidRPr="00557E5B" w:rsidRDefault="00557E5B" w:rsidP="00845FF7">
      <w:pPr>
        <w:widowControl/>
        <w:spacing w:before="120" w:after="0" w:line="288" w:lineRule="auto"/>
        <w:jc w:val="both"/>
        <w:textAlignment w:val="top"/>
        <w:rPr>
          <w:rFonts w:ascii="Arial" w:eastAsiaTheme="minorEastAsia" w:hAnsi="Arial" w:cs="Arial"/>
          <w:sz w:val="20"/>
          <w:szCs w:val="20"/>
          <w:lang w:val="tr-TR"/>
        </w:rPr>
      </w:pPr>
      <w:r w:rsidRPr="00557E5B">
        <w:rPr>
          <w:rFonts w:ascii="Arial" w:eastAsiaTheme="minorEastAsia" w:hAnsi="Arial" w:cs="Arial"/>
          <w:b/>
          <w:sz w:val="20"/>
          <w:szCs w:val="20"/>
          <w:lang w:val="tr-TR"/>
        </w:rPr>
        <w:t>İ</w:t>
      </w:r>
      <w:r w:rsidR="00845FF7" w:rsidRPr="00557E5B">
        <w:rPr>
          <w:rFonts w:ascii="Arial" w:eastAsiaTheme="minorEastAsia" w:hAnsi="Arial" w:cs="Arial"/>
          <w:b/>
          <w:sz w:val="20"/>
          <w:szCs w:val="20"/>
          <w:lang w:val="tr-TR"/>
        </w:rPr>
        <w:t>ran</w:t>
      </w:r>
      <w:r w:rsidRPr="00557E5B">
        <w:rPr>
          <w:rFonts w:ascii="Arial" w:eastAsiaTheme="minorEastAsia" w:hAnsi="Arial" w:cs="Arial"/>
          <w:b/>
          <w:sz w:val="20"/>
          <w:szCs w:val="20"/>
          <w:lang w:val="tr-TR"/>
        </w:rPr>
        <w:t>’da</w:t>
      </w:r>
      <w:r w:rsidR="00845FF7" w:rsidRPr="00557E5B">
        <w:rPr>
          <w:rFonts w:ascii="Arial" w:eastAsiaTheme="minorEastAsia" w:hAnsi="Arial" w:cs="Arial"/>
          <w:sz w:val="20"/>
          <w:szCs w:val="20"/>
          <w:lang w:val="tr-TR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tr-TR"/>
        </w:rPr>
        <w:t xml:space="preserve">ise </w:t>
      </w:r>
      <w:r w:rsidR="00FF352C">
        <w:rPr>
          <w:rFonts w:ascii="Arial" w:eastAsiaTheme="minorEastAsia" w:hAnsi="Arial" w:cs="Arial"/>
          <w:sz w:val="20"/>
          <w:szCs w:val="20"/>
          <w:lang w:val="tr-TR"/>
        </w:rPr>
        <w:t>p</w:t>
      </w:r>
      <w:r>
        <w:rPr>
          <w:rFonts w:ascii="Arial" w:eastAsiaTheme="minorEastAsia" w:hAnsi="Arial" w:cs="Arial"/>
          <w:sz w:val="20"/>
          <w:szCs w:val="20"/>
          <w:lang w:val="tr-TR"/>
        </w:rPr>
        <w:t>azar</w:t>
      </w:r>
      <w:r w:rsidR="00FF352C">
        <w:rPr>
          <w:rFonts w:ascii="Arial" w:eastAsiaTheme="minorEastAsia" w:hAnsi="Arial" w:cs="Arial"/>
          <w:sz w:val="20"/>
          <w:szCs w:val="20"/>
          <w:lang w:val="tr-TR"/>
        </w:rPr>
        <w:t>,</w:t>
      </w:r>
      <w:r w:rsidR="00FB4981">
        <w:rPr>
          <w:rFonts w:ascii="Arial" w:eastAsiaTheme="minorEastAsia" w:hAnsi="Arial" w:cs="Arial"/>
          <w:sz w:val="20"/>
          <w:szCs w:val="20"/>
          <w:lang w:val="tr-TR"/>
        </w:rPr>
        <w:t xml:space="preserve"> Grup’un yaklaşık yüzde </w:t>
      </w:r>
      <w:r>
        <w:rPr>
          <w:rFonts w:ascii="Arial" w:eastAsiaTheme="minorEastAsia" w:hAnsi="Arial" w:cs="Arial"/>
          <w:sz w:val="20"/>
          <w:szCs w:val="20"/>
          <w:lang w:val="tr-TR"/>
        </w:rPr>
        <w:t>600 oranında artan satışlarıyla yeniden açılmaya başladı</w:t>
      </w:r>
      <w:r w:rsidR="00845FF7" w:rsidRPr="00557E5B">
        <w:rPr>
          <w:rFonts w:ascii="Arial" w:eastAsiaTheme="minorEastAsia" w:hAnsi="Arial" w:cs="Arial"/>
          <w:sz w:val="20"/>
          <w:szCs w:val="20"/>
          <w:lang w:val="tr-TR"/>
        </w:rPr>
        <w:t xml:space="preserve">. </w:t>
      </w:r>
      <w:r>
        <w:rPr>
          <w:rFonts w:ascii="Arial" w:eastAsiaTheme="minorEastAsia" w:hAnsi="Arial" w:cs="Arial"/>
          <w:sz w:val="20"/>
          <w:szCs w:val="20"/>
          <w:lang w:val="tr-TR"/>
        </w:rPr>
        <w:t xml:space="preserve">Bu durum büyük oranda </w:t>
      </w:r>
      <w:proofErr w:type="spellStart"/>
      <w:r>
        <w:rPr>
          <w:rFonts w:ascii="Arial" w:eastAsiaTheme="minorEastAsia" w:hAnsi="Arial" w:cs="Arial"/>
          <w:sz w:val="20"/>
          <w:szCs w:val="20"/>
          <w:lang w:val="tr-TR"/>
        </w:rPr>
        <w:t>Logan</w:t>
      </w:r>
      <w:proofErr w:type="spellEnd"/>
      <w:r>
        <w:rPr>
          <w:rFonts w:ascii="Arial" w:eastAsiaTheme="minorEastAsia" w:hAnsi="Arial" w:cs="Arial"/>
          <w:sz w:val="20"/>
          <w:szCs w:val="20"/>
          <w:lang w:val="tr-TR"/>
        </w:rPr>
        <w:t xml:space="preserve"> ve</w:t>
      </w:r>
      <w:r w:rsidR="00845FF7" w:rsidRPr="00557E5B">
        <w:rPr>
          <w:rFonts w:ascii="Arial" w:eastAsiaTheme="minorEastAsia" w:hAnsi="Arial" w:cs="Arial"/>
          <w:sz w:val="20"/>
          <w:szCs w:val="20"/>
          <w:lang w:val="tr-TR"/>
        </w:rPr>
        <w:t xml:space="preserve"> </w:t>
      </w:r>
      <w:proofErr w:type="spellStart"/>
      <w:r w:rsidR="00845FF7" w:rsidRPr="00557E5B">
        <w:rPr>
          <w:rFonts w:ascii="Arial" w:eastAsiaTheme="minorEastAsia" w:hAnsi="Arial" w:cs="Arial"/>
          <w:sz w:val="20"/>
          <w:szCs w:val="20"/>
          <w:lang w:val="tr-TR"/>
        </w:rPr>
        <w:t>Sandero</w:t>
      </w:r>
      <w:r>
        <w:rPr>
          <w:rFonts w:ascii="Arial" w:eastAsiaTheme="minorEastAsia" w:hAnsi="Arial" w:cs="Arial"/>
          <w:sz w:val="20"/>
          <w:szCs w:val="20"/>
          <w:lang w:val="tr-TR"/>
        </w:rPr>
        <w:t>’nun</w:t>
      </w:r>
      <w:proofErr w:type="spellEnd"/>
      <w:r>
        <w:rPr>
          <w:rFonts w:ascii="Arial" w:eastAsiaTheme="minorEastAsia" w:hAnsi="Arial" w:cs="Arial"/>
          <w:sz w:val="20"/>
          <w:szCs w:val="20"/>
          <w:lang w:val="tr-TR"/>
        </w:rPr>
        <w:t xml:space="preserve"> elde </w:t>
      </w:r>
      <w:r w:rsidR="002C07E7">
        <w:rPr>
          <w:rFonts w:ascii="Arial" w:eastAsiaTheme="minorEastAsia" w:hAnsi="Arial" w:cs="Arial"/>
          <w:sz w:val="20"/>
          <w:szCs w:val="20"/>
          <w:lang w:val="tr-TR"/>
        </w:rPr>
        <w:t xml:space="preserve">ettiği </w:t>
      </w:r>
      <w:r w:rsidR="00FB4981">
        <w:rPr>
          <w:rFonts w:ascii="Arial" w:eastAsiaTheme="minorEastAsia" w:hAnsi="Arial" w:cs="Arial"/>
          <w:sz w:val="20"/>
          <w:szCs w:val="20"/>
          <w:lang w:val="tr-TR"/>
        </w:rPr>
        <w:t>başarıdan kaynaklanıyor. Grup’</w:t>
      </w:r>
      <w:r>
        <w:rPr>
          <w:rFonts w:ascii="Arial" w:eastAsiaTheme="minorEastAsia" w:hAnsi="Arial" w:cs="Arial"/>
          <w:sz w:val="20"/>
          <w:szCs w:val="20"/>
          <w:lang w:val="tr-TR"/>
        </w:rPr>
        <w:t xml:space="preserve">un pazar payı </w:t>
      </w:r>
      <w:r w:rsidR="00845FF7" w:rsidRPr="00557E5B">
        <w:rPr>
          <w:rFonts w:ascii="Arial" w:eastAsiaTheme="minorEastAsia" w:hAnsi="Arial" w:cs="Arial"/>
          <w:sz w:val="20"/>
          <w:szCs w:val="20"/>
          <w:lang w:val="tr-TR"/>
        </w:rPr>
        <w:t xml:space="preserve">3.6 </w:t>
      </w:r>
      <w:r w:rsidR="00FB4981">
        <w:rPr>
          <w:rFonts w:ascii="Arial" w:eastAsiaTheme="minorEastAsia" w:hAnsi="Arial" w:cs="Arial"/>
          <w:sz w:val="20"/>
          <w:szCs w:val="20"/>
          <w:lang w:val="tr-TR"/>
        </w:rPr>
        <w:t xml:space="preserve">puanlık artışla yüzde </w:t>
      </w:r>
      <w:r w:rsidR="00FF352C">
        <w:rPr>
          <w:rFonts w:ascii="Arial" w:eastAsiaTheme="minorEastAsia" w:hAnsi="Arial" w:cs="Arial"/>
          <w:sz w:val="20"/>
          <w:szCs w:val="20"/>
          <w:lang w:val="tr-TR"/>
        </w:rPr>
        <w:t>4.2</w:t>
      </w:r>
      <w:r>
        <w:rPr>
          <w:rFonts w:ascii="Arial" w:eastAsiaTheme="minorEastAsia" w:hAnsi="Arial" w:cs="Arial"/>
          <w:sz w:val="20"/>
          <w:szCs w:val="20"/>
          <w:lang w:val="tr-TR"/>
        </w:rPr>
        <w:t xml:space="preserve"> oldu.</w:t>
      </w:r>
      <w:r w:rsidR="00845FF7" w:rsidRPr="00557E5B">
        <w:rPr>
          <w:rFonts w:ascii="Arial" w:eastAsiaTheme="minorEastAsia" w:hAnsi="Arial" w:cs="Arial"/>
          <w:sz w:val="20"/>
          <w:szCs w:val="20"/>
          <w:lang w:val="tr-TR"/>
        </w:rPr>
        <w:t xml:space="preserve"> </w:t>
      </w:r>
      <w:r w:rsidR="002C07E7">
        <w:rPr>
          <w:rFonts w:ascii="Arial" w:eastAsiaTheme="minorEastAsia" w:hAnsi="Arial" w:cs="Arial"/>
          <w:sz w:val="20"/>
          <w:szCs w:val="20"/>
          <w:lang w:val="tr-TR"/>
        </w:rPr>
        <w:t xml:space="preserve">                                                                                     </w:t>
      </w:r>
    </w:p>
    <w:p w:rsidR="00845FF7" w:rsidRPr="00557E5B" w:rsidRDefault="00557E5B" w:rsidP="00845FF7">
      <w:pPr>
        <w:widowControl/>
        <w:spacing w:before="120" w:after="0" w:line="288" w:lineRule="auto"/>
        <w:jc w:val="both"/>
        <w:textAlignment w:val="top"/>
        <w:rPr>
          <w:rFonts w:ascii="Arial" w:eastAsiaTheme="minorEastAsia" w:hAnsi="Arial" w:cs="Arial"/>
          <w:sz w:val="20"/>
          <w:szCs w:val="20"/>
          <w:lang w:val="tr-TR"/>
        </w:rPr>
      </w:pPr>
      <w:r>
        <w:rPr>
          <w:rFonts w:ascii="Arial" w:eastAsiaTheme="minorEastAsia" w:hAnsi="Arial" w:cs="Arial"/>
          <w:b/>
          <w:bCs/>
          <w:sz w:val="20"/>
          <w:szCs w:val="20"/>
          <w:lang w:val="tr-TR"/>
        </w:rPr>
        <w:t>Hindistan’da</w:t>
      </w:r>
      <w:r w:rsidR="00FB4981">
        <w:rPr>
          <w:rFonts w:ascii="Arial" w:eastAsiaTheme="minorEastAsia" w:hAnsi="Arial" w:cs="Arial"/>
          <w:sz w:val="20"/>
          <w:szCs w:val="20"/>
          <w:lang w:val="tr-TR"/>
        </w:rPr>
        <w:t xml:space="preserve"> pazar payı yüzde </w:t>
      </w:r>
      <w:r>
        <w:rPr>
          <w:rFonts w:ascii="Arial" w:eastAsiaTheme="minorEastAsia" w:hAnsi="Arial" w:cs="Arial"/>
          <w:sz w:val="20"/>
          <w:szCs w:val="20"/>
          <w:lang w:val="tr-TR"/>
        </w:rPr>
        <w:t xml:space="preserve">3.3 büyüdü. </w:t>
      </w:r>
      <w:proofErr w:type="spellStart"/>
      <w:r w:rsidR="00845FF7" w:rsidRPr="00557E5B">
        <w:rPr>
          <w:rFonts w:ascii="Arial" w:eastAsiaTheme="minorEastAsia" w:hAnsi="Arial" w:cs="Arial"/>
          <w:sz w:val="20"/>
          <w:szCs w:val="20"/>
          <w:lang w:val="tr-TR"/>
        </w:rPr>
        <w:t>Renault</w:t>
      </w:r>
      <w:r>
        <w:rPr>
          <w:rFonts w:ascii="Arial" w:eastAsiaTheme="minorEastAsia" w:hAnsi="Arial" w:cs="Arial"/>
          <w:sz w:val="20"/>
          <w:szCs w:val="20"/>
          <w:lang w:val="tr-TR"/>
        </w:rPr>
        <w:t>’nun</w:t>
      </w:r>
      <w:proofErr w:type="spellEnd"/>
      <w:r>
        <w:rPr>
          <w:rFonts w:ascii="Arial" w:eastAsiaTheme="minorEastAsia" w:hAnsi="Arial" w:cs="Arial"/>
          <w:sz w:val="20"/>
          <w:szCs w:val="20"/>
          <w:lang w:val="tr-TR"/>
        </w:rPr>
        <w:t xml:space="preserve"> satışları ise </w:t>
      </w:r>
      <w:proofErr w:type="spellStart"/>
      <w:r>
        <w:rPr>
          <w:rFonts w:ascii="Arial" w:eastAsiaTheme="minorEastAsia" w:hAnsi="Arial" w:cs="Arial"/>
          <w:sz w:val="20"/>
          <w:szCs w:val="20"/>
          <w:lang w:val="tr-TR"/>
        </w:rPr>
        <w:t>Kwid’in</w:t>
      </w:r>
      <w:proofErr w:type="spellEnd"/>
      <w:r>
        <w:rPr>
          <w:rFonts w:ascii="Arial" w:eastAsiaTheme="minorEastAsia" w:hAnsi="Arial" w:cs="Arial"/>
          <w:sz w:val="20"/>
          <w:szCs w:val="20"/>
          <w:lang w:val="tr-TR"/>
        </w:rPr>
        <w:t xml:space="preserve"> elde e</w:t>
      </w:r>
      <w:r w:rsidR="00FB4981">
        <w:rPr>
          <w:rFonts w:ascii="Arial" w:eastAsiaTheme="minorEastAsia" w:hAnsi="Arial" w:cs="Arial"/>
          <w:sz w:val="20"/>
          <w:szCs w:val="20"/>
          <w:lang w:val="tr-TR"/>
        </w:rPr>
        <w:t>ttiği başarı sayesinde yaklaşık</w:t>
      </w:r>
      <w:r w:rsidR="00845FF7" w:rsidRPr="00557E5B">
        <w:rPr>
          <w:rFonts w:ascii="Arial" w:eastAsiaTheme="minorEastAsia" w:hAnsi="Arial" w:cs="Arial"/>
          <w:sz w:val="20"/>
          <w:szCs w:val="20"/>
          <w:lang w:val="tr-TR"/>
        </w:rPr>
        <w:t xml:space="preserve"> </w:t>
      </w:r>
      <w:r w:rsidR="00FB4981">
        <w:rPr>
          <w:rFonts w:ascii="Arial" w:eastAsiaTheme="minorEastAsia" w:hAnsi="Arial" w:cs="Arial"/>
          <w:sz w:val="20"/>
          <w:szCs w:val="20"/>
          <w:lang w:val="tr-TR"/>
        </w:rPr>
        <w:t xml:space="preserve">yüzde </w:t>
      </w:r>
      <w:r>
        <w:rPr>
          <w:rFonts w:ascii="Arial" w:eastAsiaTheme="minorEastAsia" w:hAnsi="Arial" w:cs="Arial"/>
          <w:sz w:val="20"/>
          <w:szCs w:val="20"/>
          <w:lang w:val="tr-TR"/>
        </w:rPr>
        <w:t>200 oranında art</w:t>
      </w:r>
      <w:r w:rsidR="00FB4981">
        <w:rPr>
          <w:rFonts w:ascii="Arial" w:eastAsiaTheme="minorEastAsia" w:hAnsi="Arial" w:cs="Arial"/>
          <w:sz w:val="20"/>
          <w:szCs w:val="20"/>
          <w:lang w:val="tr-TR"/>
        </w:rPr>
        <w:t xml:space="preserve">ış gösterdi. </w:t>
      </w:r>
      <w:proofErr w:type="spellStart"/>
      <w:r w:rsidR="00FB4981">
        <w:rPr>
          <w:rFonts w:ascii="Arial" w:eastAsiaTheme="minorEastAsia" w:hAnsi="Arial" w:cs="Arial"/>
          <w:sz w:val="20"/>
          <w:szCs w:val="20"/>
          <w:lang w:val="tr-TR"/>
        </w:rPr>
        <w:t>Kwid</w:t>
      </w:r>
      <w:proofErr w:type="spellEnd"/>
      <w:r w:rsidR="00FB4981">
        <w:rPr>
          <w:rFonts w:ascii="Arial" w:eastAsiaTheme="minorEastAsia" w:hAnsi="Arial" w:cs="Arial"/>
          <w:sz w:val="20"/>
          <w:szCs w:val="20"/>
          <w:lang w:val="tr-TR"/>
        </w:rPr>
        <w:t>,</w:t>
      </w:r>
      <w:r>
        <w:rPr>
          <w:rFonts w:ascii="Arial" w:eastAsiaTheme="minorEastAsia" w:hAnsi="Arial" w:cs="Arial"/>
          <w:sz w:val="20"/>
          <w:szCs w:val="20"/>
          <w:lang w:val="tr-TR"/>
        </w:rPr>
        <w:t xml:space="preserve"> lanse edildiği tarihten beri Grup </w:t>
      </w:r>
      <w:r w:rsidR="00FB4981">
        <w:rPr>
          <w:rFonts w:ascii="Arial" w:eastAsiaTheme="minorEastAsia" w:hAnsi="Arial" w:cs="Arial"/>
          <w:sz w:val="20"/>
          <w:szCs w:val="20"/>
          <w:lang w:val="tr-TR"/>
        </w:rPr>
        <w:t>120 bin</w:t>
      </w:r>
      <w:r w:rsidR="001608B4" w:rsidRPr="00557E5B">
        <w:rPr>
          <w:rFonts w:ascii="Arial" w:eastAsiaTheme="minorEastAsia" w:hAnsi="Arial" w:cs="Arial"/>
          <w:sz w:val="20"/>
          <w:szCs w:val="20"/>
          <w:lang w:val="tr-TR"/>
        </w:rPr>
        <w:t xml:space="preserve"> </w:t>
      </w:r>
      <w:r w:rsidR="006A33CE">
        <w:rPr>
          <w:rFonts w:ascii="Arial" w:eastAsiaTheme="minorEastAsia" w:hAnsi="Arial" w:cs="Arial"/>
          <w:sz w:val="20"/>
          <w:szCs w:val="20"/>
          <w:lang w:val="tr-TR"/>
        </w:rPr>
        <w:t xml:space="preserve">sipariş aldı ve sene başından beri de yaklaşık </w:t>
      </w:r>
      <w:r w:rsidR="00D03857">
        <w:rPr>
          <w:rFonts w:ascii="Arial" w:eastAsiaTheme="minorEastAsia" w:hAnsi="Arial" w:cs="Arial"/>
          <w:sz w:val="20"/>
          <w:szCs w:val="20"/>
          <w:lang w:val="tr-TR"/>
        </w:rPr>
        <w:t>23</w:t>
      </w:r>
      <w:r w:rsidR="00FB4981">
        <w:rPr>
          <w:rFonts w:ascii="Arial" w:eastAsiaTheme="minorEastAsia" w:hAnsi="Arial" w:cs="Arial"/>
          <w:sz w:val="20"/>
          <w:szCs w:val="20"/>
          <w:lang w:val="tr-TR"/>
        </w:rPr>
        <w:t xml:space="preserve"> bin</w:t>
      </w:r>
      <w:r w:rsidR="001608B4" w:rsidRPr="00557E5B">
        <w:rPr>
          <w:rFonts w:ascii="Arial" w:eastAsiaTheme="minorEastAsia" w:hAnsi="Arial" w:cs="Arial"/>
          <w:sz w:val="20"/>
          <w:szCs w:val="20"/>
          <w:lang w:val="tr-TR"/>
        </w:rPr>
        <w:t xml:space="preserve"> </w:t>
      </w:r>
      <w:r w:rsidR="006A33CE">
        <w:rPr>
          <w:rFonts w:ascii="Arial" w:eastAsiaTheme="minorEastAsia" w:hAnsi="Arial" w:cs="Arial"/>
          <w:sz w:val="20"/>
          <w:szCs w:val="20"/>
          <w:lang w:val="tr-TR"/>
        </w:rPr>
        <w:t>adetlik satış gerçekleştirdi</w:t>
      </w:r>
      <w:r w:rsidR="00845FF7" w:rsidRPr="00557E5B">
        <w:rPr>
          <w:rFonts w:ascii="Arial" w:eastAsiaTheme="minorEastAsia" w:hAnsi="Arial" w:cs="Arial"/>
          <w:sz w:val="20"/>
          <w:szCs w:val="20"/>
          <w:lang w:val="tr-TR"/>
        </w:rPr>
        <w:t>.</w:t>
      </w:r>
    </w:p>
    <w:p w:rsidR="00845FF7" w:rsidRPr="00557E5B" w:rsidRDefault="00353986" w:rsidP="00C957A6">
      <w:pPr>
        <w:widowControl/>
        <w:spacing w:before="120" w:after="0" w:line="288" w:lineRule="auto"/>
        <w:jc w:val="both"/>
        <w:textAlignment w:val="top"/>
        <w:rPr>
          <w:rFonts w:ascii="Arial" w:eastAsiaTheme="minorEastAsia" w:hAnsi="Arial" w:cs="Arial"/>
          <w:sz w:val="20"/>
          <w:szCs w:val="20"/>
          <w:lang w:val="tr-TR"/>
        </w:rPr>
      </w:pPr>
      <w:r>
        <w:rPr>
          <w:rFonts w:ascii="Arial" w:eastAsiaTheme="minorEastAsia" w:hAnsi="Arial" w:cs="Arial"/>
          <w:b/>
          <w:sz w:val="20"/>
          <w:szCs w:val="20"/>
          <w:lang w:val="tr-TR"/>
        </w:rPr>
        <w:t xml:space="preserve">Kuzey Afrika’da </w:t>
      </w:r>
      <w:r w:rsidR="00845FF7" w:rsidRPr="00557E5B">
        <w:rPr>
          <w:rFonts w:ascii="Arial" w:eastAsiaTheme="minorEastAsia" w:hAnsi="Arial" w:cs="Arial"/>
          <w:sz w:val="20"/>
          <w:szCs w:val="20"/>
          <w:lang w:val="tr-TR"/>
        </w:rPr>
        <w:t>sa</w:t>
      </w:r>
      <w:r w:rsidR="00FB4981">
        <w:rPr>
          <w:rFonts w:ascii="Arial" w:eastAsiaTheme="minorEastAsia" w:hAnsi="Arial" w:cs="Arial"/>
          <w:sz w:val="20"/>
          <w:szCs w:val="20"/>
          <w:lang w:val="tr-TR"/>
        </w:rPr>
        <w:t xml:space="preserve">tışlar yüzde </w:t>
      </w:r>
      <w:r>
        <w:rPr>
          <w:rFonts w:ascii="Arial" w:eastAsiaTheme="minorEastAsia" w:hAnsi="Arial" w:cs="Arial"/>
          <w:sz w:val="20"/>
          <w:szCs w:val="20"/>
          <w:lang w:val="tr-TR"/>
        </w:rPr>
        <w:t xml:space="preserve">25.5 azalma gösterdi. Bunun en büyük nedeni, </w:t>
      </w:r>
      <w:proofErr w:type="spellStart"/>
      <w:r>
        <w:rPr>
          <w:rFonts w:ascii="Arial" w:eastAsiaTheme="minorEastAsia" w:hAnsi="Arial" w:cs="Arial"/>
          <w:sz w:val="20"/>
          <w:szCs w:val="20"/>
          <w:lang w:val="tr-TR"/>
        </w:rPr>
        <w:t>Renault’nun</w:t>
      </w:r>
      <w:proofErr w:type="spellEnd"/>
      <w:r>
        <w:rPr>
          <w:rFonts w:ascii="Arial" w:eastAsiaTheme="minorEastAsia" w:hAnsi="Arial" w:cs="Arial"/>
          <w:sz w:val="20"/>
          <w:szCs w:val="20"/>
          <w:lang w:val="tr-TR"/>
        </w:rPr>
        <w:t xml:space="preserve"> </w:t>
      </w:r>
      <w:r w:rsidR="00FB4981">
        <w:rPr>
          <w:rFonts w:ascii="Arial" w:eastAsiaTheme="minorEastAsia" w:hAnsi="Arial" w:cs="Arial"/>
          <w:sz w:val="20"/>
          <w:szCs w:val="20"/>
          <w:lang w:val="tr-TR"/>
        </w:rPr>
        <w:t xml:space="preserve">pazar payının artmasına rağmen yüzde </w:t>
      </w:r>
      <w:r>
        <w:rPr>
          <w:rFonts w:ascii="Arial" w:eastAsiaTheme="minorEastAsia" w:hAnsi="Arial" w:cs="Arial"/>
          <w:sz w:val="20"/>
          <w:szCs w:val="20"/>
          <w:lang w:val="tr-TR"/>
        </w:rPr>
        <w:t>54.4’lük düşüş sergileyen Cezayir pa</w:t>
      </w:r>
      <w:r w:rsidR="00A10C8E">
        <w:rPr>
          <w:rFonts w:ascii="Arial" w:eastAsiaTheme="minorEastAsia" w:hAnsi="Arial" w:cs="Arial"/>
          <w:sz w:val="20"/>
          <w:szCs w:val="20"/>
          <w:lang w:val="tr-TR"/>
        </w:rPr>
        <w:t>zarı oldu</w:t>
      </w:r>
      <w:r w:rsidR="00FB4981">
        <w:rPr>
          <w:rFonts w:ascii="Arial" w:eastAsiaTheme="minorEastAsia" w:hAnsi="Arial" w:cs="Arial"/>
          <w:sz w:val="20"/>
          <w:szCs w:val="20"/>
          <w:lang w:val="tr-TR"/>
        </w:rPr>
        <w:t>.</w:t>
      </w:r>
      <w:r w:rsidR="00845FF7" w:rsidRPr="00557E5B">
        <w:rPr>
          <w:rFonts w:ascii="Arial" w:eastAsiaTheme="minorEastAsia" w:hAnsi="Arial" w:cs="Arial"/>
          <w:sz w:val="20"/>
          <w:szCs w:val="20"/>
          <w:lang w:val="tr-TR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tr-TR"/>
        </w:rPr>
        <w:t xml:space="preserve">Cezayir’de ithalatı kısıtlamak üzere yürürlüğe konan yeni yönetmelikler ile birlikte </w:t>
      </w:r>
      <w:r w:rsidR="00845FF7" w:rsidRPr="00557E5B">
        <w:rPr>
          <w:rFonts w:ascii="Arial" w:eastAsiaTheme="minorEastAsia" w:hAnsi="Arial" w:cs="Arial"/>
          <w:sz w:val="20"/>
          <w:szCs w:val="20"/>
          <w:lang w:val="tr-TR"/>
        </w:rPr>
        <w:t xml:space="preserve">Renault </w:t>
      </w:r>
      <w:r>
        <w:rPr>
          <w:rFonts w:ascii="Arial" w:eastAsiaTheme="minorEastAsia" w:hAnsi="Arial" w:cs="Arial"/>
          <w:sz w:val="20"/>
          <w:szCs w:val="20"/>
          <w:lang w:val="tr-TR"/>
        </w:rPr>
        <w:t>markasının pazar payı</w:t>
      </w:r>
      <w:r w:rsidR="00845FF7" w:rsidRPr="00557E5B">
        <w:rPr>
          <w:rFonts w:ascii="Arial" w:eastAsiaTheme="minorEastAsia" w:hAnsi="Arial" w:cs="Arial"/>
          <w:sz w:val="20"/>
          <w:szCs w:val="20"/>
          <w:lang w:val="tr-TR"/>
        </w:rPr>
        <w:t xml:space="preserve"> 16.1 p</w:t>
      </w:r>
      <w:r w:rsidR="00FB4981">
        <w:rPr>
          <w:rFonts w:ascii="Arial" w:eastAsiaTheme="minorEastAsia" w:hAnsi="Arial" w:cs="Arial"/>
          <w:sz w:val="20"/>
          <w:szCs w:val="20"/>
          <w:lang w:val="tr-TR"/>
        </w:rPr>
        <w:t xml:space="preserve">uan artışla yüzde </w:t>
      </w:r>
      <w:r>
        <w:rPr>
          <w:rFonts w:ascii="Arial" w:eastAsiaTheme="minorEastAsia" w:hAnsi="Arial" w:cs="Arial"/>
          <w:sz w:val="20"/>
          <w:szCs w:val="20"/>
          <w:lang w:val="tr-TR"/>
        </w:rPr>
        <w:t>31.9 oldu. Bu</w:t>
      </w:r>
      <w:r w:rsidR="006A0014">
        <w:rPr>
          <w:rFonts w:ascii="Arial" w:eastAsiaTheme="minorEastAsia" w:hAnsi="Arial" w:cs="Arial"/>
          <w:sz w:val="20"/>
          <w:szCs w:val="20"/>
          <w:lang w:val="tr-TR"/>
        </w:rPr>
        <w:t xml:space="preserve"> sonuçta</w:t>
      </w:r>
      <w:r>
        <w:rPr>
          <w:rFonts w:ascii="Arial" w:eastAsiaTheme="minorEastAsia" w:hAnsi="Arial" w:cs="Arial"/>
          <w:sz w:val="20"/>
          <w:szCs w:val="20"/>
          <w:lang w:val="tr-TR"/>
        </w:rPr>
        <w:t xml:space="preserve"> </w:t>
      </w:r>
      <w:r w:rsidR="00FB4981">
        <w:rPr>
          <w:rFonts w:ascii="Arial" w:eastAsiaTheme="minorEastAsia" w:hAnsi="Arial" w:cs="Arial"/>
          <w:sz w:val="20"/>
          <w:szCs w:val="20"/>
          <w:lang w:val="tr-TR"/>
        </w:rPr>
        <w:t xml:space="preserve">yerel </w:t>
      </w:r>
      <w:r>
        <w:rPr>
          <w:rFonts w:ascii="Arial" w:eastAsiaTheme="minorEastAsia" w:hAnsi="Arial" w:cs="Arial"/>
          <w:sz w:val="20"/>
          <w:szCs w:val="20"/>
          <w:lang w:val="tr-TR"/>
        </w:rPr>
        <w:t xml:space="preserve">üretilen popüler </w:t>
      </w:r>
      <w:proofErr w:type="spellStart"/>
      <w:r w:rsidR="00845FF7" w:rsidRPr="00557E5B">
        <w:rPr>
          <w:rFonts w:ascii="Arial" w:eastAsiaTheme="minorEastAsia" w:hAnsi="Arial" w:cs="Arial"/>
          <w:sz w:val="20"/>
          <w:szCs w:val="20"/>
          <w:lang w:val="tr-TR"/>
        </w:rPr>
        <w:t>Symbol</w:t>
      </w:r>
      <w:proofErr w:type="spellEnd"/>
      <w:r w:rsidR="00845FF7" w:rsidRPr="00557E5B">
        <w:rPr>
          <w:rFonts w:ascii="Arial" w:eastAsiaTheme="minorEastAsia" w:hAnsi="Arial" w:cs="Arial"/>
          <w:sz w:val="20"/>
          <w:szCs w:val="20"/>
          <w:lang w:val="tr-TR"/>
        </w:rPr>
        <w:t xml:space="preserve"> model</w:t>
      </w:r>
      <w:r>
        <w:rPr>
          <w:rFonts w:ascii="Arial" w:eastAsiaTheme="minorEastAsia" w:hAnsi="Arial" w:cs="Arial"/>
          <w:sz w:val="20"/>
          <w:szCs w:val="20"/>
          <w:lang w:val="tr-TR"/>
        </w:rPr>
        <w:t>inin etkisi söz konusu</w:t>
      </w:r>
      <w:r w:rsidR="00845FF7" w:rsidRPr="00557E5B">
        <w:rPr>
          <w:rFonts w:ascii="Arial" w:eastAsiaTheme="minorEastAsia" w:hAnsi="Arial" w:cs="Arial"/>
          <w:sz w:val="20"/>
          <w:szCs w:val="20"/>
          <w:lang w:val="tr-TR"/>
        </w:rPr>
        <w:t>.</w:t>
      </w:r>
    </w:p>
    <w:p w:rsidR="00845FF7" w:rsidRPr="00557E5B" w:rsidRDefault="00845FF7" w:rsidP="00845FF7">
      <w:pPr>
        <w:widowControl/>
        <w:spacing w:before="120" w:after="0" w:line="288" w:lineRule="auto"/>
        <w:jc w:val="both"/>
        <w:textAlignment w:val="top"/>
        <w:rPr>
          <w:rFonts w:ascii="Arial" w:eastAsiaTheme="minorEastAsia" w:hAnsi="Arial" w:cs="Arial"/>
          <w:sz w:val="20"/>
          <w:szCs w:val="20"/>
          <w:lang w:val="tr-TR"/>
        </w:rPr>
      </w:pPr>
      <w:r w:rsidRPr="00557E5B">
        <w:rPr>
          <w:rFonts w:ascii="Arial" w:eastAsiaTheme="minorEastAsia" w:hAnsi="Arial" w:cs="Arial"/>
          <w:b/>
          <w:bCs/>
          <w:sz w:val="20"/>
          <w:szCs w:val="20"/>
          <w:lang w:val="tr-TR"/>
        </w:rPr>
        <w:t>Ameri</w:t>
      </w:r>
      <w:r w:rsidR="00353986">
        <w:rPr>
          <w:rFonts w:ascii="Arial" w:eastAsiaTheme="minorEastAsia" w:hAnsi="Arial" w:cs="Arial"/>
          <w:b/>
          <w:bCs/>
          <w:sz w:val="20"/>
          <w:szCs w:val="20"/>
          <w:lang w:val="tr-TR"/>
        </w:rPr>
        <w:t>ka</w:t>
      </w:r>
      <w:r w:rsidR="00353986">
        <w:rPr>
          <w:rFonts w:ascii="Arial" w:eastAsiaTheme="minorEastAsia" w:hAnsi="Arial" w:cs="Arial"/>
          <w:sz w:val="20"/>
          <w:szCs w:val="20"/>
          <w:lang w:val="tr-TR"/>
        </w:rPr>
        <w:t xml:space="preserve"> Bölgesinde ise Grubun satışları özellikle Brezilya’da pazardaki gidişata </w:t>
      </w:r>
      <w:r w:rsidR="00353986" w:rsidRPr="00557E5B">
        <w:rPr>
          <w:rFonts w:ascii="Arial" w:eastAsiaTheme="minorEastAsia" w:hAnsi="Arial" w:cs="Arial"/>
          <w:sz w:val="20"/>
          <w:szCs w:val="20"/>
          <w:lang w:val="tr-TR"/>
        </w:rPr>
        <w:t>(-</w:t>
      </w:r>
      <w:r w:rsidR="00353986">
        <w:rPr>
          <w:rFonts w:ascii="Arial" w:eastAsiaTheme="minorEastAsia" w:hAnsi="Arial" w:cs="Arial"/>
          <w:sz w:val="20"/>
          <w:szCs w:val="20"/>
          <w:lang w:val="tr-TR"/>
        </w:rPr>
        <w:t>%28.3</w:t>
      </w:r>
      <w:r w:rsidR="00353986" w:rsidRPr="00557E5B">
        <w:rPr>
          <w:rFonts w:ascii="Arial" w:eastAsiaTheme="minorEastAsia" w:hAnsi="Arial" w:cs="Arial"/>
          <w:sz w:val="20"/>
          <w:szCs w:val="20"/>
          <w:lang w:val="tr-TR"/>
        </w:rPr>
        <w:t>)</w:t>
      </w:r>
      <w:r w:rsidR="00353986">
        <w:rPr>
          <w:rFonts w:ascii="Arial" w:eastAsiaTheme="minorEastAsia" w:hAnsi="Arial" w:cs="Arial"/>
          <w:sz w:val="20"/>
          <w:szCs w:val="20"/>
          <w:lang w:val="tr-TR"/>
        </w:rPr>
        <w:t xml:space="preserve"> bağlı olarak azaldı</w:t>
      </w:r>
      <w:r w:rsidRPr="00557E5B">
        <w:rPr>
          <w:rFonts w:ascii="Arial" w:eastAsiaTheme="minorEastAsia" w:hAnsi="Arial" w:cs="Arial"/>
          <w:sz w:val="20"/>
          <w:szCs w:val="20"/>
          <w:lang w:val="tr-TR"/>
        </w:rPr>
        <w:t xml:space="preserve">. </w:t>
      </w:r>
      <w:r w:rsidR="00B55423">
        <w:rPr>
          <w:rFonts w:ascii="Arial" w:eastAsiaTheme="minorEastAsia" w:hAnsi="Arial" w:cs="Arial"/>
          <w:sz w:val="20"/>
          <w:szCs w:val="20"/>
          <w:lang w:val="tr-TR"/>
        </w:rPr>
        <w:t>Arjantin’de</w:t>
      </w:r>
      <w:r w:rsidR="00FB4981">
        <w:rPr>
          <w:rFonts w:ascii="Arial" w:eastAsiaTheme="minorEastAsia" w:hAnsi="Arial" w:cs="Arial"/>
          <w:sz w:val="20"/>
          <w:szCs w:val="20"/>
          <w:lang w:val="tr-TR"/>
        </w:rPr>
        <w:t xml:space="preserve"> pazar yüzde 1.6 arttı ve Grup satışlarının yüzde </w:t>
      </w:r>
      <w:r w:rsidR="00353986">
        <w:rPr>
          <w:rFonts w:ascii="Arial" w:eastAsiaTheme="minorEastAsia" w:hAnsi="Arial" w:cs="Arial"/>
          <w:sz w:val="20"/>
          <w:szCs w:val="20"/>
          <w:lang w:val="tr-TR"/>
        </w:rPr>
        <w:t>3.3 oranında yükseldiği kaydedildi</w:t>
      </w:r>
      <w:r w:rsidRPr="00557E5B">
        <w:rPr>
          <w:rFonts w:ascii="Arial" w:eastAsiaTheme="minorEastAsia" w:hAnsi="Arial" w:cs="Arial"/>
          <w:sz w:val="20"/>
          <w:szCs w:val="20"/>
          <w:lang w:val="tr-TR"/>
        </w:rPr>
        <w:t xml:space="preserve">. </w:t>
      </w:r>
    </w:p>
    <w:p w:rsidR="00845FF7" w:rsidRPr="00557E5B" w:rsidRDefault="00353986" w:rsidP="00845FF7">
      <w:pPr>
        <w:widowControl/>
        <w:spacing w:before="120" w:after="0" w:line="288" w:lineRule="auto"/>
        <w:jc w:val="both"/>
        <w:textAlignment w:val="top"/>
        <w:rPr>
          <w:rFonts w:ascii="Arial" w:eastAsiaTheme="minorEastAsia" w:hAnsi="Arial" w:cs="Arial"/>
          <w:sz w:val="20"/>
          <w:szCs w:val="20"/>
          <w:lang w:val="tr-TR"/>
        </w:rPr>
      </w:pPr>
      <w:r>
        <w:rPr>
          <w:rFonts w:ascii="Arial" w:eastAsiaTheme="minorEastAsia" w:hAnsi="Arial" w:cs="Arial"/>
          <w:b/>
          <w:bCs/>
          <w:sz w:val="20"/>
          <w:szCs w:val="20"/>
          <w:lang w:val="tr-TR"/>
        </w:rPr>
        <w:t xml:space="preserve">Avrasya’da </w:t>
      </w:r>
      <w:r w:rsidR="00FB4981">
        <w:rPr>
          <w:rFonts w:ascii="Arial" w:eastAsiaTheme="minorEastAsia" w:hAnsi="Arial" w:cs="Arial"/>
          <w:sz w:val="20"/>
          <w:szCs w:val="20"/>
          <w:lang w:val="tr-TR"/>
        </w:rPr>
        <w:t>ise Grup’</w:t>
      </w:r>
      <w:r>
        <w:rPr>
          <w:rFonts w:ascii="Arial" w:eastAsiaTheme="minorEastAsia" w:hAnsi="Arial" w:cs="Arial"/>
          <w:sz w:val="20"/>
          <w:szCs w:val="20"/>
          <w:lang w:val="tr-TR"/>
        </w:rPr>
        <w:t xml:space="preserve">un pazar payı </w:t>
      </w:r>
      <w:r w:rsidR="00845FF7" w:rsidRPr="00557E5B">
        <w:rPr>
          <w:rFonts w:ascii="Arial" w:eastAsiaTheme="minorEastAsia" w:hAnsi="Arial" w:cs="Arial"/>
          <w:sz w:val="20"/>
          <w:szCs w:val="20"/>
          <w:lang w:val="tr-TR"/>
        </w:rPr>
        <w:t xml:space="preserve">1.3 </w:t>
      </w:r>
      <w:r w:rsidR="00FB4981">
        <w:rPr>
          <w:rFonts w:ascii="Arial" w:eastAsiaTheme="minorEastAsia" w:hAnsi="Arial" w:cs="Arial"/>
          <w:sz w:val="20"/>
          <w:szCs w:val="20"/>
          <w:lang w:val="tr-TR"/>
        </w:rPr>
        <w:t xml:space="preserve">puanlık artışla yüzde </w:t>
      </w:r>
      <w:r>
        <w:rPr>
          <w:rFonts w:ascii="Arial" w:eastAsiaTheme="minorEastAsia" w:hAnsi="Arial" w:cs="Arial"/>
          <w:sz w:val="20"/>
          <w:szCs w:val="20"/>
          <w:lang w:val="tr-TR"/>
        </w:rPr>
        <w:t>11.9 olarak gerçekleşti</w:t>
      </w:r>
      <w:r w:rsidR="00845FF7" w:rsidRPr="00557E5B">
        <w:rPr>
          <w:rFonts w:ascii="Arial" w:eastAsiaTheme="minorEastAsia" w:hAnsi="Arial" w:cs="Arial"/>
          <w:sz w:val="20"/>
          <w:szCs w:val="20"/>
          <w:lang w:val="tr-TR"/>
        </w:rPr>
        <w:t xml:space="preserve">. </w:t>
      </w:r>
      <w:r>
        <w:rPr>
          <w:rFonts w:ascii="Arial" w:eastAsiaTheme="minorEastAsia" w:hAnsi="Arial" w:cs="Arial"/>
          <w:sz w:val="20"/>
          <w:szCs w:val="20"/>
          <w:lang w:val="tr-TR"/>
        </w:rPr>
        <w:t xml:space="preserve">Bölgedeki pek çok ülkede görülen büyüme </w:t>
      </w:r>
      <w:r w:rsidR="004F3941">
        <w:rPr>
          <w:rFonts w:ascii="Arial" w:eastAsiaTheme="minorEastAsia" w:hAnsi="Arial" w:cs="Arial"/>
          <w:sz w:val="20"/>
          <w:szCs w:val="20"/>
          <w:lang w:val="tr-TR"/>
        </w:rPr>
        <w:t xml:space="preserve">Rusya pazarındaki durgunluğu dengeledi. </w:t>
      </w:r>
      <w:r w:rsidR="00845FF7" w:rsidRPr="00557E5B">
        <w:rPr>
          <w:rFonts w:ascii="Arial" w:eastAsiaTheme="minorEastAsia" w:hAnsi="Arial" w:cs="Arial"/>
          <w:b/>
          <w:sz w:val="20"/>
          <w:szCs w:val="20"/>
          <w:lang w:val="tr-TR"/>
        </w:rPr>
        <w:t>Rus</w:t>
      </w:r>
      <w:r w:rsidR="004F3941">
        <w:rPr>
          <w:rFonts w:ascii="Arial" w:eastAsiaTheme="minorEastAsia" w:hAnsi="Arial" w:cs="Arial"/>
          <w:b/>
          <w:sz w:val="20"/>
          <w:szCs w:val="20"/>
          <w:lang w:val="tr-TR"/>
        </w:rPr>
        <w:t xml:space="preserve">ya’da </w:t>
      </w:r>
      <w:r w:rsidR="004F3941">
        <w:rPr>
          <w:rFonts w:ascii="Arial" w:eastAsiaTheme="minorEastAsia" w:hAnsi="Arial" w:cs="Arial"/>
          <w:sz w:val="20"/>
          <w:szCs w:val="20"/>
          <w:lang w:val="tr-TR"/>
        </w:rPr>
        <w:t xml:space="preserve">ise </w:t>
      </w:r>
      <w:r w:rsidR="00845FF7" w:rsidRPr="00557E5B">
        <w:rPr>
          <w:rFonts w:ascii="Arial" w:eastAsiaTheme="minorEastAsia" w:hAnsi="Arial" w:cs="Arial"/>
          <w:sz w:val="20"/>
          <w:szCs w:val="20"/>
          <w:lang w:val="tr-TR"/>
        </w:rPr>
        <w:t xml:space="preserve">Renault </w:t>
      </w:r>
      <w:r w:rsidR="004F3941">
        <w:rPr>
          <w:rFonts w:ascii="Arial" w:eastAsiaTheme="minorEastAsia" w:hAnsi="Arial" w:cs="Arial"/>
          <w:sz w:val="20"/>
          <w:szCs w:val="20"/>
          <w:lang w:val="tr-TR"/>
        </w:rPr>
        <w:t xml:space="preserve">pazar payını </w:t>
      </w:r>
      <w:r w:rsidR="00922A22" w:rsidRPr="00557E5B">
        <w:rPr>
          <w:rFonts w:ascii="Arial" w:eastAsiaTheme="minorEastAsia" w:hAnsi="Arial" w:cs="Arial"/>
          <w:sz w:val="20"/>
          <w:szCs w:val="20"/>
          <w:lang w:val="tr-TR"/>
        </w:rPr>
        <w:t>0.2</w:t>
      </w:r>
      <w:r w:rsidR="00845FF7" w:rsidRPr="00557E5B">
        <w:rPr>
          <w:rFonts w:ascii="Arial" w:eastAsiaTheme="minorEastAsia" w:hAnsi="Arial" w:cs="Arial"/>
          <w:sz w:val="20"/>
          <w:szCs w:val="20"/>
          <w:lang w:val="tr-TR"/>
        </w:rPr>
        <w:t xml:space="preserve"> </w:t>
      </w:r>
      <w:r w:rsidR="00FB4981">
        <w:rPr>
          <w:rFonts w:ascii="Arial" w:eastAsiaTheme="minorEastAsia" w:hAnsi="Arial" w:cs="Arial"/>
          <w:sz w:val="20"/>
          <w:szCs w:val="20"/>
          <w:lang w:val="tr-TR"/>
        </w:rPr>
        <w:t xml:space="preserve">puanlık artışa yüzde </w:t>
      </w:r>
      <w:r w:rsidR="004F3941">
        <w:rPr>
          <w:rFonts w:ascii="Arial" w:eastAsiaTheme="minorEastAsia" w:hAnsi="Arial" w:cs="Arial"/>
          <w:sz w:val="20"/>
          <w:szCs w:val="20"/>
          <w:lang w:val="tr-TR"/>
        </w:rPr>
        <w:t>7.3’e yükseltti</w:t>
      </w:r>
      <w:r w:rsidR="00845FF7" w:rsidRPr="00557E5B">
        <w:rPr>
          <w:rFonts w:ascii="Arial" w:eastAsiaTheme="minorEastAsia" w:hAnsi="Arial" w:cs="Arial"/>
          <w:sz w:val="20"/>
          <w:szCs w:val="20"/>
          <w:lang w:val="tr-TR"/>
        </w:rPr>
        <w:t>. Renault</w:t>
      </w:r>
      <w:r w:rsidR="004F3941">
        <w:rPr>
          <w:rFonts w:ascii="Arial" w:eastAsiaTheme="minorEastAsia" w:hAnsi="Arial" w:cs="Arial"/>
          <w:sz w:val="20"/>
          <w:szCs w:val="20"/>
          <w:lang w:val="tr-TR"/>
        </w:rPr>
        <w:t xml:space="preserve">, Mart 2016’da </w:t>
      </w:r>
      <w:proofErr w:type="spellStart"/>
      <w:r w:rsidR="004F3941">
        <w:rPr>
          <w:rFonts w:ascii="Arial" w:eastAsiaTheme="minorEastAsia" w:hAnsi="Arial" w:cs="Arial"/>
          <w:sz w:val="20"/>
          <w:szCs w:val="20"/>
          <w:lang w:val="tr-TR"/>
        </w:rPr>
        <w:t>Kaptur’u</w:t>
      </w:r>
      <w:proofErr w:type="spellEnd"/>
      <w:r w:rsidR="004F3941">
        <w:rPr>
          <w:rFonts w:ascii="Arial" w:eastAsiaTheme="minorEastAsia" w:hAnsi="Arial" w:cs="Arial"/>
          <w:sz w:val="20"/>
          <w:szCs w:val="20"/>
          <w:lang w:val="tr-TR"/>
        </w:rPr>
        <w:t xml:space="preserve"> gözler önüne sererek ürün atağına devam etti</w:t>
      </w:r>
      <w:r w:rsidR="00845FF7" w:rsidRPr="00557E5B">
        <w:rPr>
          <w:rFonts w:ascii="Arial" w:eastAsiaTheme="minorEastAsia" w:hAnsi="Arial" w:cs="Arial"/>
          <w:sz w:val="20"/>
          <w:szCs w:val="20"/>
          <w:lang w:val="tr-TR"/>
        </w:rPr>
        <w:t>. </w:t>
      </w:r>
    </w:p>
    <w:p w:rsidR="00B4165A" w:rsidRPr="00557E5B" w:rsidRDefault="004F3941" w:rsidP="00B4165A">
      <w:pPr>
        <w:widowControl/>
        <w:spacing w:before="120" w:after="0" w:line="288" w:lineRule="auto"/>
        <w:jc w:val="both"/>
        <w:textAlignment w:val="top"/>
        <w:rPr>
          <w:rFonts w:ascii="Arial" w:eastAsiaTheme="minorEastAsia" w:hAnsi="Arial" w:cs="Arial"/>
          <w:sz w:val="20"/>
          <w:szCs w:val="20"/>
          <w:lang w:val="tr-TR"/>
        </w:rPr>
      </w:pPr>
      <w:r>
        <w:rPr>
          <w:rFonts w:ascii="Arial" w:eastAsiaTheme="minorEastAsia" w:hAnsi="Arial" w:cs="Arial"/>
          <w:b/>
          <w:bCs/>
          <w:sz w:val="20"/>
          <w:szCs w:val="20"/>
          <w:lang w:val="tr-TR"/>
        </w:rPr>
        <w:t>Asya-Pas</w:t>
      </w:r>
      <w:r w:rsidR="00B4165A" w:rsidRPr="00557E5B">
        <w:rPr>
          <w:rFonts w:ascii="Arial" w:eastAsiaTheme="minorEastAsia" w:hAnsi="Arial" w:cs="Arial"/>
          <w:b/>
          <w:bCs/>
          <w:sz w:val="20"/>
          <w:szCs w:val="20"/>
          <w:lang w:val="tr-TR"/>
        </w:rPr>
        <w:t>ifi</w:t>
      </w:r>
      <w:r>
        <w:rPr>
          <w:rFonts w:ascii="Arial" w:eastAsiaTheme="minorEastAsia" w:hAnsi="Arial" w:cs="Arial"/>
          <w:b/>
          <w:bCs/>
          <w:sz w:val="20"/>
          <w:szCs w:val="20"/>
          <w:lang w:val="tr-TR"/>
        </w:rPr>
        <w:t xml:space="preserve">k </w:t>
      </w:r>
      <w:r>
        <w:rPr>
          <w:rFonts w:ascii="Arial" w:eastAsiaTheme="minorEastAsia" w:hAnsi="Arial" w:cs="Arial"/>
          <w:bCs/>
          <w:sz w:val="20"/>
          <w:szCs w:val="20"/>
          <w:lang w:val="tr-TR"/>
        </w:rPr>
        <w:t xml:space="preserve">bölgesinde ilk çeyrekte </w:t>
      </w:r>
      <w:r>
        <w:rPr>
          <w:rFonts w:ascii="Arial" w:eastAsiaTheme="minorEastAsia" w:hAnsi="Arial" w:cs="Arial"/>
          <w:b/>
          <w:bCs/>
          <w:sz w:val="20"/>
          <w:szCs w:val="20"/>
          <w:lang w:val="tr-TR"/>
        </w:rPr>
        <w:t xml:space="preserve">Çin’de </w:t>
      </w:r>
      <w:r>
        <w:rPr>
          <w:rFonts w:ascii="Arial" w:eastAsiaTheme="minorEastAsia" w:hAnsi="Arial" w:cs="Arial"/>
          <w:bCs/>
          <w:sz w:val="20"/>
          <w:szCs w:val="20"/>
          <w:lang w:val="tr-TR"/>
        </w:rPr>
        <w:t xml:space="preserve">bulunan </w:t>
      </w:r>
      <w:proofErr w:type="spellStart"/>
      <w:r>
        <w:rPr>
          <w:rFonts w:ascii="Arial" w:eastAsiaTheme="minorEastAsia" w:hAnsi="Arial" w:cs="Arial"/>
          <w:bCs/>
          <w:sz w:val="20"/>
          <w:szCs w:val="20"/>
          <w:lang w:val="tr-TR"/>
        </w:rPr>
        <w:t>Wuhan</w:t>
      </w:r>
      <w:proofErr w:type="spellEnd"/>
      <w:r>
        <w:rPr>
          <w:rFonts w:ascii="Arial" w:eastAsiaTheme="minorEastAsia" w:hAnsi="Arial" w:cs="Arial"/>
          <w:bCs/>
          <w:sz w:val="20"/>
          <w:szCs w:val="20"/>
          <w:lang w:val="tr-TR"/>
        </w:rPr>
        <w:t xml:space="preserve"> tesisinde </w:t>
      </w:r>
      <w:r w:rsidR="00B4165A" w:rsidRPr="00557E5B">
        <w:rPr>
          <w:rFonts w:ascii="Arial" w:eastAsiaTheme="minorEastAsia" w:hAnsi="Arial" w:cs="Arial"/>
          <w:sz w:val="20"/>
          <w:szCs w:val="20"/>
          <w:lang w:val="tr-TR"/>
        </w:rPr>
        <w:t xml:space="preserve">Renault </w:t>
      </w:r>
      <w:proofErr w:type="spellStart"/>
      <w:r w:rsidR="00B4165A" w:rsidRPr="00557E5B">
        <w:rPr>
          <w:rFonts w:ascii="Arial" w:eastAsiaTheme="minorEastAsia" w:hAnsi="Arial" w:cs="Arial"/>
          <w:sz w:val="20"/>
          <w:szCs w:val="20"/>
          <w:lang w:val="tr-TR"/>
        </w:rPr>
        <w:t>Kadjar</w:t>
      </w:r>
      <w:r>
        <w:rPr>
          <w:rFonts w:ascii="Arial" w:eastAsiaTheme="minorEastAsia" w:hAnsi="Arial" w:cs="Arial"/>
          <w:sz w:val="20"/>
          <w:szCs w:val="20"/>
          <w:lang w:val="tr-TR"/>
        </w:rPr>
        <w:t>’ın</w:t>
      </w:r>
      <w:proofErr w:type="spellEnd"/>
      <w:r>
        <w:rPr>
          <w:rFonts w:ascii="Arial" w:eastAsiaTheme="minorEastAsia" w:hAnsi="Arial" w:cs="Arial"/>
          <w:sz w:val="20"/>
          <w:szCs w:val="20"/>
          <w:lang w:val="tr-TR"/>
        </w:rPr>
        <w:t xml:space="preserve"> üretimi başladı</w:t>
      </w:r>
      <w:r w:rsidR="00B4165A" w:rsidRPr="00557E5B">
        <w:rPr>
          <w:rFonts w:ascii="Arial" w:eastAsiaTheme="minorEastAsia" w:hAnsi="Arial" w:cs="Arial"/>
          <w:sz w:val="20"/>
          <w:szCs w:val="20"/>
          <w:lang w:val="tr-TR"/>
        </w:rPr>
        <w:t xml:space="preserve">. </w:t>
      </w:r>
      <w:r>
        <w:rPr>
          <w:rFonts w:ascii="Arial" w:eastAsiaTheme="minorEastAsia" w:hAnsi="Arial" w:cs="Arial"/>
          <w:sz w:val="20"/>
          <w:szCs w:val="20"/>
          <w:lang w:val="tr-TR"/>
        </w:rPr>
        <w:t xml:space="preserve">Grubun bölgedeki lider pazarı durumunda bulunan </w:t>
      </w:r>
      <w:r>
        <w:rPr>
          <w:rFonts w:ascii="Arial" w:eastAsiaTheme="minorEastAsia" w:hAnsi="Arial" w:cs="Arial"/>
          <w:b/>
          <w:sz w:val="20"/>
          <w:szCs w:val="20"/>
          <w:lang w:val="tr-TR"/>
        </w:rPr>
        <w:t xml:space="preserve">Güney Kore’de </w:t>
      </w:r>
      <w:r>
        <w:rPr>
          <w:rFonts w:ascii="Arial" w:eastAsiaTheme="minorEastAsia" w:hAnsi="Arial" w:cs="Arial"/>
          <w:sz w:val="20"/>
          <w:szCs w:val="20"/>
          <w:lang w:val="tr-TR"/>
        </w:rPr>
        <w:t xml:space="preserve">ise </w:t>
      </w:r>
      <w:r w:rsidR="00B4165A" w:rsidRPr="00557E5B">
        <w:rPr>
          <w:rFonts w:ascii="Arial" w:eastAsiaTheme="minorEastAsia" w:hAnsi="Arial" w:cs="Arial"/>
          <w:sz w:val="20"/>
          <w:szCs w:val="20"/>
          <w:lang w:val="tr-TR"/>
        </w:rPr>
        <w:t xml:space="preserve">Renault </w:t>
      </w:r>
      <w:proofErr w:type="spellStart"/>
      <w:r w:rsidR="00B4165A" w:rsidRPr="00557E5B">
        <w:rPr>
          <w:rFonts w:ascii="Arial" w:eastAsiaTheme="minorEastAsia" w:hAnsi="Arial" w:cs="Arial"/>
          <w:sz w:val="20"/>
          <w:szCs w:val="20"/>
          <w:lang w:val="tr-TR"/>
        </w:rPr>
        <w:t>Samsung</w:t>
      </w:r>
      <w:proofErr w:type="spellEnd"/>
      <w:r w:rsidR="00B4165A" w:rsidRPr="00557E5B">
        <w:rPr>
          <w:rFonts w:ascii="Arial" w:eastAsiaTheme="minorEastAsia" w:hAnsi="Arial" w:cs="Arial"/>
          <w:sz w:val="20"/>
          <w:szCs w:val="20"/>
          <w:lang w:val="tr-TR"/>
        </w:rPr>
        <w:t xml:space="preserve"> </w:t>
      </w:r>
      <w:proofErr w:type="spellStart"/>
      <w:r w:rsidR="00B4165A" w:rsidRPr="00557E5B">
        <w:rPr>
          <w:rFonts w:ascii="Arial" w:eastAsiaTheme="minorEastAsia" w:hAnsi="Arial" w:cs="Arial"/>
          <w:sz w:val="20"/>
          <w:szCs w:val="20"/>
          <w:lang w:val="tr-TR"/>
        </w:rPr>
        <w:t>Motors</w:t>
      </w:r>
      <w:proofErr w:type="spellEnd"/>
      <w:r w:rsidR="00B4165A" w:rsidRPr="00557E5B">
        <w:rPr>
          <w:rFonts w:ascii="Arial" w:eastAsiaTheme="minorEastAsia" w:hAnsi="Arial" w:cs="Arial"/>
          <w:sz w:val="20"/>
          <w:szCs w:val="20"/>
          <w:lang w:val="tr-TR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tr-TR"/>
        </w:rPr>
        <w:t xml:space="preserve">Mart orasında lanse edilen yeni SM6 sedan için </w:t>
      </w:r>
      <w:r w:rsidR="00B4165A" w:rsidRPr="00557E5B">
        <w:rPr>
          <w:rFonts w:ascii="Arial" w:eastAsiaTheme="minorEastAsia" w:hAnsi="Arial" w:cs="Arial"/>
          <w:sz w:val="20"/>
          <w:szCs w:val="20"/>
          <w:lang w:val="tr-TR"/>
        </w:rPr>
        <w:t>20</w:t>
      </w:r>
      <w:r w:rsidR="00FB4981">
        <w:rPr>
          <w:rFonts w:ascii="Arial" w:eastAsiaTheme="minorEastAsia" w:hAnsi="Arial" w:cs="Arial"/>
          <w:sz w:val="20"/>
          <w:szCs w:val="20"/>
          <w:lang w:val="tr-TR"/>
        </w:rPr>
        <w:t xml:space="preserve"> bin</w:t>
      </w:r>
      <w:r w:rsidR="00B4165A" w:rsidRPr="00557E5B">
        <w:rPr>
          <w:rFonts w:ascii="Arial" w:eastAsiaTheme="minorEastAsia" w:hAnsi="Arial" w:cs="Arial"/>
          <w:sz w:val="20"/>
          <w:szCs w:val="20"/>
          <w:lang w:val="tr-TR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tr-TR"/>
        </w:rPr>
        <w:t>sipariş aldı</w:t>
      </w:r>
      <w:r w:rsidR="00B4165A" w:rsidRPr="00557E5B">
        <w:rPr>
          <w:rFonts w:ascii="Arial" w:eastAsiaTheme="minorEastAsia" w:hAnsi="Arial" w:cs="Arial"/>
          <w:sz w:val="20"/>
          <w:szCs w:val="20"/>
          <w:lang w:val="tr-TR"/>
        </w:rPr>
        <w:t xml:space="preserve">. </w:t>
      </w:r>
    </w:p>
    <w:p w:rsidR="00B4165A" w:rsidRPr="00557E5B" w:rsidRDefault="00B4165A" w:rsidP="00B4165A">
      <w:pPr>
        <w:widowControl/>
        <w:spacing w:before="100" w:beforeAutospacing="1" w:after="100" w:afterAutospacing="1" w:line="240" w:lineRule="auto"/>
        <w:jc w:val="both"/>
        <w:textAlignment w:val="top"/>
        <w:rPr>
          <w:rFonts w:ascii="Arial" w:eastAsiaTheme="minorEastAsia" w:hAnsi="Arial" w:cs="Arial"/>
          <w:b/>
          <w:bCs/>
          <w:caps/>
          <w:szCs w:val="26"/>
          <w:lang w:val="tr-TR"/>
        </w:rPr>
      </w:pPr>
    </w:p>
    <w:p w:rsidR="00B4165A" w:rsidRPr="00557E5B" w:rsidRDefault="00C65B37" w:rsidP="00B4165A">
      <w:pPr>
        <w:widowControl/>
        <w:spacing w:before="100" w:beforeAutospacing="1" w:after="100" w:afterAutospacing="1" w:line="240" w:lineRule="auto"/>
        <w:jc w:val="both"/>
        <w:textAlignment w:val="top"/>
        <w:rPr>
          <w:rFonts w:ascii="Arial" w:eastAsiaTheme="minorEastAsia" w:hAnsi="Arial" w:cs="Arial"/>
          <w:b/>
          <w:bCs/>
          <w:caps/>
          <w:szCs w:val="26"/>
          <w:lang w:val="tr-TR"/>
        </w:rPr>
      </w:pPr>
      <w:r>
        <w:rPr>
          <w:rFonts w:ascii="Arial" w:eastAsiaTheme="minorEastAsia" w:hAnsi="Arial" w:cs="Arial"/>
          <w:b/>
          <w:bCs/>
          <w:caps/>
          <w:szCs w:val="26"/>
          <w:lang w:val="tr-TR"/>
        </w:rPr>
        <w:t xml:space="preserve">2016 YILI </w:t>
      </w:r>
      <w:r w:rsidR="00686829">
        <w:rPr>
          <w:rFonts w:ascii="Arial" w:eastAsiaTheme="minorEastAsia" w:hAnsi="Arial" w:cs="Arial"/>
          <w:b/>
          <w:bCs/>
          <w:caps/>
          <w:szCs w:val="26"/>
          <w:lang w:val="tr-TR"/>
        </w:rPr>
        <w:t>İLK ÇEYREK GELİRLERİ</w:t>
      </w:r>
      <w:r w:rsidR="00B4165A" w:rsidRPr="00557E5B">
        <w:rPr>
          <w:rFonts w:ascii="Arial" w:eastAsiaTheme="minorEastAsia" w:hAnsi="Arial" w:cs="Arial"/>
          <w:b/>
          <w:bCs/>
          <w:caps/>
          <w:szCs w:val="26"/>
          <w:lang w:val="tr-TR"/>
        </w:rPr>
        <w:t xml:space="preserve"> </w:t>
      </w:r>
    </w:p>
    <w:p w:rsidR="00B4165A" w:rsidRPr="00557E5B" w:rsidRDefault="00686829" w:rsidP="00B4165A">
      <w:pPr>
        <w:widowControl/>
        <w:spacing w:before="120" w:after="0" w:line="288" w:lineRule="auto"/>
        <w:jc w:val="both"/>
        <w:textAlignment w:val="top"/>
        <w:rPr>
          <w:rFonts w:ascii="Arial" w:eastAsiaTheme="minorEastAsia" w:hAnsi="Arial" w:cs="Arial"/>
          <w:sz w:val="20"/>
          <w:szCs w:val="20"/>
          <w:lang w:val="tr-TR"/>
        </w:rPr>
      </w:pPr>
      <w:r>
        <w:rPr>
          <w:rFonts w:ascii="Arial" w:eastAsiaTheme="minorEastAsia" w:hAnsi="Arial" w:cs="Arial"/>
          <w:sz w:val="20"/>
          <w:szCs w:val="20"/>
          <w:lang w:val="tr-TR"/>
        </w:rPr>
        <w:t xml:space="preserve">2016’nın ilk çeyreğinde </w:t>
      </w:r>
      <w:r>
        <w:rPr>
          <w:rFonts w:ascii="Arial" w:eastAsiaTheme="minorEastAsia" w:hAnsi="Arial" w:cs="Arial"/>
          <w:b/>
          <w:sz w:val="20"/>
          <w:szCs w:val="20"/>
          <w:lang w:val="tr-TR"/>
        </w:rPr>
        <w:t xml:space="preserve">Grubun </w:t>
      </w:r>
      <w:r w:rsidR="00FB4981">
        <w:rPr>
          <w:rFonts w:ascii="Arial" w:eastAsiaTheme="minorEastAsia" w:hAnsi="Arial" w:cs="Arial"/>
          <w:sz w:val="20"/>
          <w:szCs w:val="20"/>
          <w:lang w:val="tr-TR"/>
        </w:rPr>
        <w:t>cirosu</w:t>
      </w:r>
      <w:r>
        <w:rPr>
          <w:rFonts w:ascii="Arial" w:eastAsiaTheme="minorEastAsia" w:hAnsi="Arial" w:cs="Arial"/>
          <w:sz w:val="20"/>
          <w:szCs w:val="20"/>
          <w:lang w:val="tr-TR"/>
        </w:rPr>
        <w:t xml:space="preserve"> </w:t>
      </w:r>
      <w:r w:rsidR="00FB4981" w:rsidRPr="00FB4981">
        <w:rPr>
          <w:rFonts w:ascii="Arial" w:eastAsiaTheme="minorEastAsia" w:hAnsi="Arial" w:cs="Arial"/>
          <w:b/>
          <w:sz w:val="20"/>
          <w:szCs w:val="20"/>
          <w:lang w:val="tr-TR"/>
        </w:rPr>
        <w:t xml:space="preserve">10 milyar </w:t>
      </w:r>
      <w:r w:rsidR="00B4165A" w:rsidRPr="00FB4981">
        <w:rPr>
          <w:rFonts w:ascii="Arial" w:eastAsiaTheme="minorEastAsia" w:hAnsi="Arial" w:cs="Arial"/>
          <w:b/>
          <w:sz w:val="20"/>
          <w:szCs w:val="20"/>
          <w:lang w:val="tr-TR"/>
        </w:rPr>
        <w:t>489</w:t>
      </w:r>
      <w:r w:rsidR="00B4165A" w:rsidRPr="00557E5B">
        <w:rPr>
          <w:rFonts w:ascii="Arial" w:eastAsiaTheme="minorEastAsia" w:hAnsi="Arial" w:cs="Arial"/>
          <w:sz w:val="20"/>
          <w:szCs w:val="20"/>
          <w:lang w:val="tr-TR"/>
        </w:rPr>
        <w:t xml:space="preserve"> </w:t>
      </w:r>
      <w:r w:rsidRPr="00FB4981">
        <w:rPr>
          <w:rFonts w:ascii="Arial" w:eastAsiaTheme="minorEastAsia" w:hAnsi="Arial" w:cs="Arial"/>
          <w:b/>
          <w:sz w:val="20"/>
          <w:szCs w:val="20"/>
          <w:lang w:val="tr-TR"/>
        </w:rPr>
        <w:t xml:space="preserve">milyon </w:t>
      </w:r>
      <w:r w:rsidR="00FB4981" w:rsidRPr="00FB4981">
        <w:rPr>
          <w:rFonts w:ascii="Arial" w:eastAsiaTheme="minorEastAsia" w:hAnsi="Arial" w:cs="Arial"/>
          <w:b/>
          <w:sz w:val="20"/>
          <w:szCs w:val="20"/>
          <w:lang w:val="tr-TR"/>
        </w:rPr>
        <w:t xml:space="preserve">Euro </w:t>
      </w:r>
      <w:r w:rsidRPr="00FB4981">
        <w:rPr>
          <w:rFonts w:ascii="Arial" w:eastAsiaTheme="minorEastAsia" w:hAnsi="Arial" w:cs="Arial"/>
          <w:b/>
          <w:sz w:val="20"/>
          <w:szCs w:val="20"/>
          <w:lang w:val="tr-TR"/>
        </w:rPr>
        <w:t>olarak gerçekleşti. Bu</w:t>
      </w:r>
      <w:r w:rsidR="00AC1887" w:rsidRPr="00FB4981">
        <w:rPr>
          <w:rFonts w:ascii="Arial" w:eastAsiaTheme="minorEastAsia" w:hAnsi="Arial" w:cs="Arial"/>
          <w:b/>
          <w:sz w:val="20"/>
          <w:szCs w:val="20"/>
          <w:lang w:val="tr-TR"/>
        </w:rPr>
        <w:t xml:space="preserve"> sonuç</w:t>
      </w:r>
      <w:r w:rsidRPr="00FB4981">
        <w:rPr>
          <w:rFonts w:ascii="Arial" w:eastAsiaTheme="minorEastAsia" w:hAnsi="Arial" w:cs="Arial"/>
          <w:b/>
          <w:sz w:val="20"/>
          <w:szCs w:val="20"/>
          <w:lang w:val="tr-TR"/>
        </w:rPr>
        <w:t>, geçen seneye kıyasla</w:t>
      </w:r>
      <w:r>
        <w:rPr>
          <w:rFonts w:ascii="Arial" w:eastAsia="Times New Roman" w:hAnsi="Arial" w:cs="Arial"/>
          <w:b/>
          <w:bCs/>
          <w:lang w:val="tr-TR"/>
        </w:rPr>
        <w:t xml:space="preserve"> </w:t>
      </w:r>
      <w:r w:rsidR="00FB4981">
        <w:rPr>
          <w:rFonts w:ascii="Arial" w:eastAsiaTheme="minorEastAsia" w:hAnsi="Arial" w:cs="Arial"/>
          <w:sz w:val="20"/>
          <w:szCs w:val="20"/>
          <w:lang w:val="tr-TR"/>
        </w:rPr>
        <w:t xml:space="preserve">yüzde </w:t>
      </w:r>
      <w:r w:rsidR="00B4165A" w:rsidRPr="00557E5B">
        <w:rPr>
          <w:rFonts w:ascii="Arial" w:eastAsiaTheme="minorEastAsia" w:hAnsi="Arial" w:cs="Arial"/>
          <w:sz w:val="20"/>
          <w:szCs w:val="20"/>
          <w:lang w:val="tr-TR"/>
        </w:rPr>
        <w:t>11.7</w:t>
      </w:r>
      <w:r>
        <w:rPr>
          <w:rFonts w:ascii="Arial" w:eastAsiaTheme="minorEastAsia" w:hAnsi="Arial" w:cs="Arial"/>
          <w:sz w:val="20"/>
          <w:szCs w:val="20"/>
          <w:lang w:val="tr-TR"/>
        </w:rPr>
        <w:t xml:space="preserve">’lik artış anlamına geliyor </w:t>
      </w:r>
      <w:r w:rsidR="00B4165A" w:rsidRPr="00557E5B">
        <w:rPr>
          <w:rFonts w:ascii="Arial" w:eastAsiaTheme="minorEastAsia" w:hAnsi="Arial" w:cs="Arial"/>
          <w:sz w:val="20"/>
          <w:szCs w:val="20"/>
          <w:lang w:val="tr-TR"/>
        </w:rPr>
        <w:t>(</w:t>
      </w:r>
      <w:r>
        <w:rPr>
          <w:rFonts w:ascii="Arial" w:eastAsiaTheme="minorEastAsia" w:hAnsi="Arial" w:cs="Arial"/>
          <w:sz w:val="20"/>
          <w:szCs w:val="20"/>
          <w:lang w:val="tr-TR"/>
        </w:rPr>
        <w:t xml:space="preserve">sabit </w:t>
      </w:r>
      <w:r w:rsidR="00FB4981">
        <w:rPr>
          <w:rFonts w:ascii="Arial" w:eastAsiaTheme="minorEastAsia" w:hAnsi="Arial" w:cs="Arial"/>
          <w:sz w:val="20"/>
          <w:szCs w:val="20"/>
          <w:lang w:val="tr-TR"/>
        </w:rPr>
        <w:t xml:space="preserve">kurlarla </w:t>
      </w:r>
      <w:r w:rsidR="00B4165A" w:rsidRPr="00557E5B">
        <w:rPr>
          <w:rFonts w:ascii="Arial" w:eastAsiaTheme="minorEastAsia" w:hAnsi="Arial" w:cs="Arial"/>
          <w:sz w:val="20"/>
          <w:szCs w:val="20"/>
          <w:lang w:val="tr-TR"/>
        </w:rPr>
        <w:t>+</w:t>
      </w:r>
      <w:r>
        <w:rPr>
          <w:rFonts w:ascii="Arial" w:eastAsiaTheme="minorEastAsia" w:hAnsi="Arial" w:cs="Arial"/>
          <w:sz w:val="20"/>
          <w:szCs w:val="20"/>
          <w:lang w:val="tr-TR"/>
        </w:rPr>
        <w:t>%</w:t>
      </w:r>
      <w:r w:rsidR="00B4165A" w:rsidRPr="00557E5B">
        <w:rPr>
          <w:rFonts w:ascii="Arial" w:eastAsiaTheme="minorEastAsia" w:hAnsi="Arial" w:cs="Arial"/>
          <w:sz w:val="20"/>
          <w:szCs w:val="20"/>
          <w:lang w:val="tr-TR"/>
        </w:rPr>
        <w:t>16.3</w:t>
      </w:r>
      <w:r>
        <w:rPr>
          <w:rFonts w:ascii="Arial" w:eastAsiaTheme="minorEastAsia" w:hAnsi="Arial" w:cs="Arial"/>
          <w:sz w:val="20"/>
          <w:szCs w:val="20"/>
          <w:lang w:val="tr-TR"/>
        </w:rPr>
        <w:t xml:space="preserve"> artış)</w:t>
      </w:r>
      <w:r w:rsidR="00B4165A" w:rsidRPr="00557E5B">
        <w:rPr>
          <w:rFonts w:ascii="Arial" w:eastAsiaTheme="minorEastAsia" w:hAnsi="Arial" w:cs="Arial"/>
          <w:sz w:val="20"/>
          <w:szCs w:val="20"/>
          <w:lang w:val="tr-TR"/>
        </w:rPr>
        <w:t>.</w:t>
      </w:r>
    </w:p>
    <w:p w:rsidR="00B4165A" w:rsidRPr="00557E5B" w:rsidRDefault="00FB4981" w:rsidP="00B4165A">
      <w:pPr>
        <w:widowControl/>
        <w:spacing w:before="120" w:after="0" w:line="288" w:lineRule="auto"/>
        <w:jc w:val="both"/>
        <w:textAlignment w:val="top"/>
        <w:rPr>
          <w:rFonts w:ascii="Arial" w:eastAsiaTheme="minorEastAsia" w:hAnsi="Arial" w:cs="Arial"/>
          <w:sz w:val="20"/>
          <w:szCs w:val="20"/>
          <w:lang w:val="tr-TR"/>
        </w:rPr>
      </w:pPr>
      <w:r>
        <w:rPr>
          <w:rFonts w:ascii="Arial" w:eastAsiaTheme="minorEastAsia" w:hAnsi="Arial" w:cs="Arial"/>
          <w:b/>
          <w:bCs/>
          <w:sz w:val="20"/>
          <w:szCs w:val="20"/>
          <w:lang w:val="tr-TR"/>
        </w:rPr>
        <w:t>Otomobil</w:t>
      </w:r>
      <w:r w:rsidR="00686829">
        <w:rPr>
          <w:rFonts w:ascii="Arial" w:eastAsiaTheme="minorEastAsia" w:hAnsi="Arial" w:cs="Arial"/>
          <w:b/>
          <w:bCs/>
          <w:sz w:val="20"/>
          <w:szCs w:val="20"/>
          <w:lang w:val="tr-TR"/>
        </w:rPr>
        <w:t xml:space="preserve"> </w:t>
      </w:r>
      <w:r w:rsidRPr="00FB4981">
        <w:rPr>
          <w:rFonts w:ascii="Arial" w:eastAsiaTheme="minorEastAsia" w:hAnsi="Arial" w:cs="Arial"/>
          <w:bCs/>
          <w:sz w:val="20"/>
          <w:szCs w:val="20"/>
          <w:lang w:val="tr-TR"/>
        </w:rPr>
        <w:t xml:space="preserve">biriminin </w:t>
      </w:r>
      <w:r>
        <w:rPr>
          <w:rFonts w:ascii="Arial" w:eastAsiaTheme="minorEastAsia" w:hAnsi="Arial" w:cs="Arial"/>
          <w:bCs/>
          <w:sz w:val="20"/>
          <w:szCs w:val="20"/>
          <w:lang w:val="tr-TR"/>
        </w:rPr>
        <w:t>cirosu</w:t>
      </w:r>
      <w:r w:rsidR="00686829">
        <w:rPr>
          <w:rFonts w:ascii="Arial" w:eastAsiaTheme="minorEastAsia" w:hAnsi="Arial" w:cs="Arial"/>
          <w:bCs/>
          <w:sz w:val="20"/>
          <w:szCs w:val="20"/>
          <w:lang w:val="tr-TR"/>
        </w:rPr>
        <w:t xml:space="preserve"> faturalardaki artış </w:t>
      </w:r>
      <w:r w:rsidR="00686829" w:rsidRPr="00557E5B">
        <w:rPr>
          <w:rFonts w:ascii="Arial" w:eastAsiaTheme="minorEastAsia" w:hAnsi="Arial" w:cs="Arial"/>
          <w:sz w:val="20"/>
          <w:szCs w:val="20"/>
          <w:lang w:val="tr-TR"/>
        </w:rPr>
        <w:t>(+10.2</w:t>
      </w:r>
      <w:r w:rsidR="00686829">
        <w:rPr>
          <w:rFonts w:ascii="Arial" w:eastAsiaTheme="minorEastAsia" w:hAnsi="Arial" w:cs="Arial"/>
          <w:sz w:val="20"/>
          <w:szCs w:val="20"/>
          <w:lang w:val="tr-TR"/>
        </w:rPr>
        <w:t xml:space="preserve"> puan</w:t>
      </w:r>
      <w:r w:rsidR="00686829" w:rsidRPr="00557E5B">
        <w:rPr>
          <w:rFonts w:ascii="Arial" w:eastAsiaTheme="minorEastAsia" w:hAnsi="Arial" w:cs="Arial"/>
          <w:sz w:val="20"/>
          <w:szCs w:val="20"/>
          <w:lang w:val="tr-TR"/>
        </w:rPr>
        <w:t>)</w:t>
      </w:r>
      <w:r w:rsidR="00686829">
        <w:rPr>
          <w:rFonts w:ascii="Arial" w:eastAsiaTheme="minorEastAsia" w:hAnsi="Arial" w:cs="Arial"/>
          <w:bCs/>
          <w:sz w:val="20"/>
          <w:szCs w:val="20"/>
          <w:lang w:val="tr-TR"/>
        </w:rPr>
        <w:t xml:space="preserve"> ve ortaklara yapılan satışlar </w:t>
      </w:r>
      <w:r w:rsidR="00686829" w:rsidRPr="00557E5B">
        <w:rPr>
          <w:rFonts w:ascii="Arial" w:eastAsiaTheme="minorEastAsia" w:hAnsi="Arial" w:cs="Arial"/>
          <w:sz w:val="20"/>
          <w:szCs w:val="20"/>
          <w:lang w:val="tr-TR"/>
        </w:rPr>
        <w:t>(+2.7</w:t>
      </w:r>
      <w:r w:rsidR="00686829">
        <w:rPr>
          <w:rFonts w:ascii="Arial" w:eastAsiaTheme="minorEastAsia" w:hAnsi="Arial" w:cs="Arial"/>
          <w:sz w:val="20"/>
          <w:szCs w:val="20"/>
          <w:lang w:val="tr-TR"/>
        </w:rPr>
        <w:t> puan</w:t>
      </w:r>
      <w:r w:rsidR="00686829" w:rsidRPr="00557E5B">
        <w:rPr>
          <w:rFonts w:ascii="Arial" w:eastAsiaTheme="minorEastAsia" w:hAnsi="Arial" w:cs="Arial"/>
          <w:sz w:val="20"/>
          <w:szCs w:val="20"/>
          <w:lang w:val="tr-TR"/>
        </w:rPr>
        <w:t>)</w:t>
      </w:r>
      <w:r w:rsidR="00B4165A" w:rsidRPr="00557E5B">
        <w:rPr>
          <w:rFonts w:ascii="Arial" w:eastAsiaTheme="minorEastAsia" w:hAnsi="Arial" w:cs="Arial"/>
          <w:sz w:val="20"/>
          <w:szCs w:val="20"/>
          <w:lang w:val="tr-TR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tr-TR"/>
        </w:rPr>
        <w:t xml:space="preserve">sayesinde yüzde </w:t>
      </w:r>
      <w:r w:rsidR="00686829" w:rsidRPr="00557E5B">
        <w:rPr>
          <w:rFonts w:ascii="Arial" w:eastAsiaTheme="minorEastAsia" w:hAnsi="Arial" w:cs="Arial"/>
          <w:sz w:val="20"/>
          <w:szCs w:val="20"/>
          <w:lang w:val="tr-TR"/>
        </w:rPr>
        <w:t>12.6</w:t>
      </w:r>
      <w:r w:rsidR="00686829">
        <w:rPr>
          <w:rFonts w:ascii="Arial" w:eastAsiaTheme="minorEastAsia" w:hAnsi="Arial" w:cs="Arial"/>
          <w:sz w:val="20"/>
          <w:szCs w:val="20"/>
          <w:lang w:val="tr-TR"/>
        </w:rPr>
        <w:t xml:space="preserve">’lık atışla </w:t>
      </w:r>
      <w:r>
        <w:rPr>
          <w:rFonts w:ascii="Arial" w:eastAsiaTheme="minorEastAsia" w:hAnsi="Arial" w:cs="Arial"/>
          <w:sz w:val="20"/>
          <w:szCs w:val="20"/>
          <w:lang w:val="tr-TR"/>
        </w:rPr>
        <w:t xml:space="preserve">9 milyar </w:t>
      </w:r>
      <w:r w:rsidR="00B4165A" w:rsidRPr="00557E5B">
        <w:rPr>
          <w:rFonts w:ascii="Arial" w:eastAsiaTheme="minorEastAsia" w:hAnsi="Arial" w:cs="Arial"/>
          <w:sz w:val="20"/>
          <w:szCs w:val="20"/>
          <w:lang w:val="tr-TR"/>
        </w:rPr>
        <w:t>942 mil</w:t>
      </w:r>
      <w:r w:rsidR="00686829">
        <w:rPr>
          <w:rFonts w:ascii="Arial" w:eastAsiaTheme="minorEastAsia" w:hAnsi="Arial" w:cs="Arial"/>
          <w:sz w:val="20"/>
          <w:szCs w:val="20"/>
          <w:lang w:val="tr-TR"/>
        </w:rPr>
        <w:t xml:space="preserve">yon </w:t>
      </w:r>
      <w:r>
        <w:rPr>
          <w:rFonts w:ascii="Arial" w:eastAsiaTheme="minorEastAsia" w:hAnsi="Arial" w:cs="Arial"/>
          <w:sz w:val="20"/>
          <w:szCs w:val="20"/>
          <w:lang w:val="tr-TR"/>
        </w:rPr>
        <w:t xml:space="preserve">Euro </w:t>
      </w:r>
      <w:r w:rsidR="00686829">
        <w:rPr>
          <w:rFonts w:ascii="Arial" w:eastAsiaTheme="minorEastAsia" w:hAnsi="Arial" w:cs="Arial"/>
          <w:sz w:val="20"/>
          <w:szCs w:val="20"/>
          <w:lang w:val="tr-TR"/>
        </w:rPr>
        <w:t>olarak gerçekleşti</w:t>
      </w:r>
      <w:r w:rsidR="00B4165A" w:rsidRPr="00557E5B">
        <w:rPr>
          <w:rFonts w:ascii="Arial" w:eastAsiaTheme="minorEastAsia" w:hAnsi="Arial" w:cs="Arial"/>
          <w:sz w:val="20"/>
          <w:szCs w:val="20"/>
          <w:lang w:val="tr-TR"/>
        </w:rPr>
        <w:t xml:space="preserve">. </w:t>
      </w:r>
      <w:r w:rsidR="00686829">
        <w:rPr>
          <w:rFonts w:ascii="Arial" w:eastAsiaTheme="minorEastAsia" w:hAnsi="Arial" w:cs="Arial"/>
          <w:sz w:val="20"/>
          <w:szCs w:val="20"/>
          <w:lang w:val="tr-TR"/>
        </w:rPr>
        <w:t xml:space="preserve">Ürün ve coğrafi karışım </w:t>
      </w:r>
      <w:r w:rsidR="00565383">
        <w:rPr>
          <w:rFonts w:ascii="Arial" w:eastAsiaTheme="minorEastAsia" w:hAnsi="Arial" w:cs="Arial"/>
          <w:sz w:val="20"/>
          <w:szCs w:val="20"/>
          <w:lang w:val="tr-TR"/>
        </w:rPr>
        <w:t>ise 2.8 puan ile olumlu katkı sağladı</w:t>
      </w:r>
      <w:r w:rsidR="00C52CF7" w:rsidRPr="00557E5B">
        <w:rPr>
          <w:rFonts w:ascii="Arial" w:eastAsiaTheme="minorEastAsia" w:hAnsi="Arial" w:cs="Arial"/>
          <w:sz w:val="20"/>
          <w:szCs w:val="20"/>
          <w:lang w:val="tr-TR"/>
        </w:rPr>
        <w:t xml:space="preserve">. </w:t>
      </w:r>
      <w:r w:rsidR="00565383">
        <w:rPr>
          <w:rFonts w:ascii="Arial" w:eastAsiaTheme="minorEastAsia" w:hAnsi="Arial" w:cs="Arial"/>
          <w:sz w:val="20"/>
          <w:szCs w:val="20"/>
          <w:lang w:val="tr-TR"/>
        </w:rPr>
        <w:t>Fiyatlandırmanın da 2.7 puanla pozitif etkisi görüldü. Bundaki en büyük etki ise özellikle Rusya ve Güney Amerika olmak üzere gelişmekte olan ülkelerde döviz zayıflamasını dengelemek üzere yapılan fiyat artışı oldu</w:t>
      </w:r>
      <w:r w:rsidR="00B4165A" w:rsidRPr="00557E5B">
        <w:rPr>
          <w:rFonts w:ascii="Arial" w:eastAsiaTheme="minorEastAsia" w:hAnsi="Arial" w:cs="Arial"/>
          <w:sz w:val="20"/>
          <w:szCs w:val="20"/>
          <w:lang w:val="tr-TR"/>
        </w:rPr>
        <w:t xml:space="preserve">. </w:t>
      </w:r>
      <w:r w:rsidR="00565383">
        <w:rPr>
          <w:rFonts w:ascii="Arial" w:eastAsiaTheme="minorEastAsia" w:hAnsi="Arial" w:cs="Arial"/>
          <w:sz w:val="20"/>
          <w:szCs w:val="20"/>
          <w:lang w:val="tr-TR"/>
        </w:rPr>
        <w:t xml:space="preserve">Euro’nun Arjantin ve Kolombiya pesosu ve Brezilya </w:t>
      </w:r>
      <w:proofErr w:type="spellStart"/>
      <w:r w:rsidR="00565383">
        <w:rPr>
          <w:rFonts w:ascii="Arial" w:eastAsiaTheme="minorEastAsia" w:hAnsi="Arial" w:cs="Arial"/>
          <w:sz w:val="20"/>
          <w:szCs w:val="20"/>
          <w:lang w:val="tr-TR"/>
        </w:rPr>
        <w:t>real’i</w:t>
      </w:r>
      <w:proofErr w:type="spellEnd"/>
      <w:r w:rsidR="00565383">
        <w:rPr>
          <w:rFonts w:ascii="Arial" w:eastAsiaTheme="minorEastAsia" w:hAnsi="Arial" w:cs="Arial"/>
          <w:sz w:val="20"/>
          <w:szCs w:val="20"/>
          <w:lang w:val="tr-TR"/>
        </w:rPr>
        <w:t xml:space="preserve"> ve Rus rublesi de </w:t>
      </w:r>
      <w:proofErr w:type="gramStart"/>
      <w:r w:rsidR="00FC0A17">
        <w:rPr>
          <w:rFonts w:ascii="Arial" w:eastAsiaTheme="minorEastAsia" w:hAnsi="Arial" w:cs="Arial"/>
          <w:sz w:val="20"/>
          <w:szCs w:val="20"/>
          <w:lang w:val="tr-TR"/>
        </w:rPr>
        <w:t>d</w:t>
      </w:r>
      <w:r>
        <w:rPr>
          <w:rFonts w:ascii="Arial" w:eastAsiaTheme="minorEastAsia" w:hAnsi="Arial" w:cs="Arial"/>
          <w:sz w:val="20"/>
          <w:szCs w:val="20"/>
          <w:lang w:val="tr-TR"/>
        </w:rPr>
        <w:t>a</w:t>
      </w:r>
      <w:r w:rsidR="00FC0A17">
        <w:rPr>
          <w:rFonts w:ascii="Arial" w:eastAsiaTheme="minorEastAsia" w:hAnsi="Arial" w:cs="Arial"/>
          <w:sz w:val="20"/>
          <w:szCs w:val="20"/>
          <w:lang w:val="tr-TR"/>
        </w:rPr>
        <w:t>hil</w:t>
      </w:r>
      <w:proofErr w:type="gramEnd"/>
      <w:r w:rsidR="00565383">
        <w:rPr>
          <w:rFonts w:ascii="Arial" w:eastAsiaTheme="minorEastAsia" w:hAnsi="Arial" w:cs="Arial"/>
          <w:sz w:val="20"/>
          <w:szCs w:val="20"/>
          <w:lang w:val="tr-TR"/>
        </w:rPr>
        <w:t xml:space="preserve"> olmak üzere bir takım para birimleri karşısında güçlenmesi 4.5 puanlık istenmeyen bir etki yarattı</w:t>
      </w:r>
      <w:r w:rsidR="00B4165A" w:rsidRPr="00557E5B">
        <w:rPr>
          <w:rFonts w:ascii="Arial" w:eastAsiaTheme="minorEastAsia" w:hAnsi="Arial" w:cs="Arial"/>
          <w:sz w:val="20"/>
          <w:szCs w:val="20"/>
          <w:lang w:val="tr-TR"/>
        </w:rPr>
        <w:t xml:space="preserve">. </w:t>
      </w:r>
    </w:p>
    <w:p w:rsidR="00B4165A" w:rsidRPr="00557E5B" w:rsidRDefault="00B4165A" w:rsidP="00B4165A">
      <w:pPr>
        <w:widowControl/>
        <w:spacing w:before="120" w:after="0" w:line="288" w:lineRule="auto"/>
        <w:jc w:val="both"/>
        <w:textAlignment w:val="top"/>
        <w:rPr>
          <w:rFonts w:ascii="Arial" w:eastAsiaTheme="minorEastAsia" w:hAnsi="Arial" w:cs="Arial"/>
          <w:sz w:val="20"/>
          <w:szCs w:val="20"/>
          <w:lang w:val="tr-TR"/>
        </w:rPr>
      </w:pPr>
      <w:r w:rsidRPr="00557E5B">
        <w:rPr>
          <w:rFonts w:ascii="Arial" w:eastAsiaTheme="minorEastAsia" w:hAnsi="Arial" w:cs="Arial"/>
          <w:b/>
          <w:bCs/>
          <w:sz w:val="20"/>
          <w:szCs w:val="20"/>
          <w:lang w:val="tr-TR"/>
        </w:rPr>
        <w:t>Sa</w:t>
      </w:r>
      <w:r w:rsidR="00565383">
        <w:rPr>
          <w:rFonts w:ascii="Arial" w:eastAsiaTheme="minorEastAsia" w:hAnsi="Arial" w:cs="Arial"/>
          <w:b/>
          <w:bCs/>
          <w:sz w:val="20"/>
          <w:szCs w:val="20"/>
          <w:lang w:val="tr-TR"/>
        </w:rPr>
        <w:t xml:space="preserve">tış Finansmanı </w:t>
      </w:r>
      <w:r w:rsidR="00FB4981">
        <w:rPr>
          <w:rFonts w:ascii="Arial" w:eastAsiaTheme="minorEastAsia" w:hAnsi="Arial" w:cs="Arial"/>
          <w:sz w:val="20"/>
          <w:szCs w:val="20"/>
          <w:lang w:val="tr-TR"/>
        </w:rPr>
        <w:t xml:space="preserve">(RCI </w:t>
      </w:r>
      <w:proofErr w:type="spellStart"/>
      <w:r w:rsidR="00FB4981">
        <w:rPr>
          <w:rFonts w:ascii="Arial" w:eastAsiaTheme="minorEastAsia" w:hAnsi="Arial" w:cs="Arial"/>
          <w:sz w:val="20"/>
          <w:szCs w:val="20"/>
          <w:lang w:val="tr-TR"/>
        </w:rPr>
        <w:t>Banque</w:t>
      </w:r>
      <w:proofErr w:type="spellEnd"/>
      <w:r w:rsidR="00FB4981">
        <w:rPr>
          <w:rFonts w:ascii="Arial" w:eastAsiaTheme="minorEastAsia" w:hAnsi="Arial" w:cs="Arial"/>
          <w:sz w:val="20"/>
          <w:szCs w:val="20"/>
          <w:lang w:val="tr-TR"/>
        </w:rPr>
        <w:t xml:space="preserve">) </w:t>
      </w:r>
      <w:r w:rsidRPr="00557E5B">
        <w:rPr>
          <w:rFonts w:ascii="Arial" w:eastAsiaTheme="minorEastAsia" w:hAnsi="Arial" w:cs="Arial"/>
          <w:sz w:val="20"/>
          <w:szCs w:val="20"/>
          <w:lang w:val="tr-TR"/>
        </w:rPr>
        <w:t>547 mil</w:t>
      </w:r>
      <w:r w:rsidR="00565383">
        <w:rPr>
          <w:rFonts w:ascii="Arial" w:eastAsiaTheme="minorEastAsia" w:hAnsi="Arial" w:cs="Arial"/>
          <w:sz w:val="20"/>
          <w:szCs w:val="20"/>
          <w:lang w:val="tr-TR"/>
        </w:rPr>
        <w:t xml:space="preserve">yon </w:t>
      </w:r>
      <w:r w:rsidR="00FB4981">
        <w:rPr>
          <w:rFonts w:ascii="Arial" w:eastAsiaTheme="minorEastAsia" w:hAnsi="Arial" w:cs="Arial"/>
          <w:sz w:val="20"/>
          <w:szCs w:val="20"/>
          <w:lang w:val="tr-TR"/>
        </w:rPr>
        <w:t>Euro ciro gerçekleştirdi.</w:t>
      </w:r>
      <w:r w:rsidR="00565383">
        <w:rPr>
          <w:rFonts w:ascii="Arial" w:eastAsiaTheme="minorEastAsia" w:hAnsi="Arial" w:cs="Arial"/>
          <w:sz w:val="20"/>
          <w:szCs w:val="20"/>
          <w:lang w:val="tr-TR"/>
        </w:rPr>
        <w:t xml:space="preserve"> </w:t>
      </w:r>
      <w:r w:rsidR="00FC0A17">
        <w:rPr>
          <w:rFonts w:ascii="Arial" w:eastAsiaTheme="minorEastAsia" w:hAnsi="Arial" w:cs="Arial"/>
          <w:sz w:val="20"/>
          <w:szCs w:val="20"/>
          <w:lang w:val="tr-TR"/>
        </w:rPr>
        <w:t>Bu</w:t>
      </w:r>
      <w:r w:rsidR="00565383">
        <w:rPr>
          <w:rFonts w:ascii="Arial" w:eastAsiaTheme="minorEastAsia" w:hAnsi="Arial" w:cs="Arial"/>
          <w:sz w:val="20"/>
          <w:szCs w:val="20"/>
          <w:lang w:val="tr-TR"/>
        </w:rPr>
        <w:t>, 2015’in i</w:t>
      </w:r>
      <w:r w:rsidR="00FB4981">
        <w:rPr>
          <w:rFonts w:ascii="Arial" w:eastAsiaTheme="minorEastAsia" w:hAnsi="Arial" w:cs="Arial"/>
          <w:sz w:val="20"/>
          <w:szCs w:val="20"/>
          <w:lang w:val="tr-TR"/>
        </w:rPr>
        <w:t xml:space="preserve">lk çeyreği ile kıyaslandığında yüzde </w:t>
      </w:r>
      <w:r w:rsidRPr="00557E5B">
        <w:rPr>
          <w:rFonts w:ascii="Arial" w:eastAsiaTheme="minorEastAsia" w:hAnsi="Arial" w:cs="Arial"/>
          <w:sz w:val="20"/>
          <w:szCs w:val="20"/>
          <w:lang w:val="tr-TR"/>
        </w:rPr>
        <w:t>2.1</w:t>
      </w:r>
      <w:r w:rsidR="00565383">
        <w:rPr>
          <w:rFonts w:ascii="Arial" w:eastAsiaTheme="minorEastAsia" w:hAnsi="Arial" w:cs="Arial"/>
          <w:sz w:val="20"/>
          <w:szCs w:val="20"/>
          <w:lang w:val="tr-TR"/>
        </w:rPr>
        <w:t>’lik düşüş anlamına geliyor</w:t>
      </w:r>
      <w:r w:rsidRPr="00557E5B">
        <w:rPr>
          <w:rFonts w:ascii="Arial" w:eastAsiaTheme="minorEastAsia" w:hAnsi="Arial" w:cs="Arial"/>
          <w:sz w:val="20"/>
          <w:szCs w:val="20"/>
          <w:lang w:val="tr-TR"/>
        </w:rPr>
        <w:t xml:space="preserve">. </w:t>
      </w:r>
      <w:r w:rsidR="00935346">
        <w:rPr>
          <w:rFonts w:ascii="Arial" w:eastAsiaTheme="minorEastAsia" w:hAnsi="Arial" w:cs="Arial"/>
          <w:sz w:val="20"/>
          <w:szCs w:val="20"/>
          <w:lang w:val="tr-TR"/>
        </w:rPr>
        <w:t>Buna rağmen</w:t>
      </w:r>
      <w:r w:rsidR="00565383">
        <w:rPr>
          <w:rFonts w:ascii="Arial" w:eastAsiaTheme="minorEastAsia" w:hAnsi="Arial" w:cs="Arial"/>
          <w:sz w:val="20"/>
          <w:szCs w:val="20"/>
          <w:lang w:val="tr-TR"/>
        </w:rPr>
        <w:t xml:space="preserve"> yeni fi</w:t>
      </w:r>
      <w:r w:rsidR="00FB4981">
        <w:rPr>
          <w:rFonts w:ascii="Arial" w:eastAsiaTheme="minorEastAsia" w:hAnsi="Arial" w:cs="Arial"/>
          <w:sz w:val="20"/>
          <w:szCs w:val="20"/>
          <w:lang w:val="tr-TR"/>
        </w:rPr>
        <w:t xml:space="preserve">nansman sözleşmelerinin sayısı yüzde </w:t>
      </w:r>
      <w:r w:rsidRPr="00557E5B">
        <w:rPr>
          <w:rFonts w:ascii="Arial" w:eastAsiaTheme="minorEastAsia" w:hAnsi="Arial" w:cs="Arial"/>
          <w:sz w:val="20"/>
          <w:szCs w:val="20"/>
          <w:lang w:val="tr-TR"/>
        </w:rPr>
        <w:t>10.2</w:t>
      </w:r>
      <w:r w:rsidR="00565383">
        <w:rPr>
          <w:rFonts w:ascii="Arial" w:eastAsiaTheme="minorEastAsia" w:hAnsi="Arial" w:cs="Arial"/>
          <w:sz w:val="20"/>
          <w:szCs w:val="20"/>
          <w:lang w:val="tr-TR"/>
        </w:rPr>
        <w:t xml:space="preserve"> arttı</w:t>
      </w:r>
      <w:r w:rsidRPr="00557E5B">
        <w:rPr>
          <w:rFonts w:ascii="Arial" w:eastAsiaTheme="minorEastAsia" w:hAnsi="Arial" w:cs="Arial"/>
          <w:sz w:val="20"/>
          <w:szCs w:val="20"/>
          <w:lang w:val="tr-TR"/>
        </w:rPr>
        <w:t xml:space="preserve">. </w:t>
      </w:r>
      <w:r w:rsidR="00FC0A17">
        <w:rPr>
          <w:rFonts w:ascii="Arial" w:eastAsiaTheme="minorEastAsia" w:hAnsi="Arial" w:cs="Arial"/>
          <w:sz w:val="20"/>
          <w:szCs w:val="20"/>
          <w:lang w:val="tr-TR"/>
        </w:rPr>
        <w:t>Ortalama iş</w:t>
      </w:r>
      <w:r w:rsidR="00541237">
        <w:rPr>
          <w:rFonts w:ascii="Arial" w:eastAsiaTheme="minorEastAsia" w:hAnsi="Arial" w:cs="Arial"/>
          <w:sz w:val="20"/>
          <w:szCs w:val="20"/>
          <w:lang w:val="tr-TR"/>
        </w:rPr>
        <w:t>l</w:t>
      </w:r>
      <w:r w:rsidR="00FC0A17">
        <w:rPr>
          <w:rFonts w:ascii="Arial" w:eastAsiaTheme="minorEastAsia" w:hAnsi="Arial" w:cs="Arial"/>
          <w:sz w:val="20"/>
          <w:szCs w:val="20"/>
          <w:lang w:val="tr-TR"/>
        </w:rPr>
        <w:t xml:space="preserve">etme varlıkları </w:t>
      </w:r>
      <w:r w:rsidR="00FB4981">
        <w:rPr>
          <w:rFonts w:ascii="Arial" w:eastAsiaTheme="minorEastAsia" w:hAnsi="Arial" w:cs="Arial"/>
          <w:sz w:val="20"/>
          <w:szCs w:val="20"/>
          <w:lang w:val="tr-TR"/>
        </w:rPr>
        <w:t xml:space="preserve">yüzde </w:t>
      </w:r>
      <w:r w:rsidR="00FC0A17">
        <w:rPr>
          <w:rFonts w:ascii="Arial" w:eastAsiaTheme="minorEastAsia" w:hAnsi="Arial" w:cs="Arial"/>
          <w:sz w:val="20"/>
          <w:szCs w:val="20"/>
          <w:lang w:val="tr-TR"/>
        </w:rPr>
        <w:t xml:space="preserve">12.8 artışla </w:t>
      </w:r>
      <w:r w:rsidRPr="00557E5B">
        <w:rPr>
          <w:rFonts w:ascii="Arial" w:eastAsiaTheme="minorEastAsia" w:hAnsi="Arial" w:cs="Arial"/>
          <w:sz w:val="20"/>
          <w:szCs w:val="20"/>
          <w:lang w:val="tr-TR"/>
        </w:rPr>
        <w:t>3</w:t>
      </w:r>
      <w:r w:rsidR="00FB4981">
        <w:rPr>
          <w:rFonts w:ascii="Arial" w:eastAsiaTheme="minorEastAsia" w:hAnsi="Arial" w:cs="Arial"/>
          <w:sz w:val="20"/>
          <w:szCs w:val="20"/>
          <w:lang w:val="tr-TR"/>
        </w:rPr>
        <w:t>1,</w:t>
      </w:r>
      <w:r w:rsidRPr="00557E5B">
        <w:rPr>
          <w:rFonts w:ascii="Arial" w:eastAsiaTheme="minorEastAsia" w:hAnsi="Arial" w:cs="Arial"/>
          <w:sz w:val="20"/>
          <w:szCs w:val="20"/>
          <w:lang w:val="tr-TR"/>
        </w:rPr>
        <w:t>1 </w:t>
      </w:r>
      <w:r w:rsidR="00FC0A17">
        <w:rPr>
          <w:rFonts w:ascii="Arial" w:eastAsiaTheme="minorEastAsia" w:hAnsi="Arial" w:cs="Arial"/>
          <w:sz w:val="20"/>
          <w:szCs w:val="20"/>
          <w:lang w:val="tr-TR"/>
        </w:rPr>
        <w:t>milyar</w:t>
      </w:r>
      <w:r w:rsidR="00E12A6B">
        <w:rPr>
          <w:rFonts w:ascii="Arial" w:eastAsiaTheme="minorEastAsia" w:hAnsi="Arial" w:cs="Arial"/>
          <w:sz w:val="20"/>
          <w:szCs w:val="20"/>
          <w:lang w:val="tr-TR"/>
        </w:rPr>
        <w:t xml:space="preserve"> Euro’ya</w:t>
      </w:r>
      <w:r w:rsidR="00FC0A17">
        <w:rPr>
          <w:rFonts w:ascii="Arial" w:eastAsiaTheme="minorEastAsia" w:hAnsi="Arial" w:cs="Arial"/>
          <w:sz w:val="20"/>
          <w:szCs w:val="20"/>
          <w:lang w:val="tr-TR"/>
        </w:rPr>
        <w:t xml:space="preserve"> </w:t>
      </w:r>
      <w:r w:rsidR="00E12A6B">
        <w:rPr>
          <w:rFonts w:ascii="Arial" w:eastAsiaTheme="minorEastAsia" w:hAnsi="Arial" w:cs="Arial"/>
          <w:sz w:val="20"/>
          <w:szCs w:val="20"/>
          <w:lang w:val="tr-TR"/>
        </w:rPr>
        <w:t>ulaştı</w:t>
      </w:r>
      <w:r w:rsidRPr="00557E5B">
        <w:rPr>
          <w:rFonts w:ascii="Arial" w:eastAsiaTheme="minorEastAsia" w:hAnsi="Arial" w:cs="Arial"/>
          <w:sz w:val="20"/>
          <w:szCs w:val="20"/>
          <w:lang w:val="tr-TR"/>
        </w:rPr>
        <w:t>.</w:t>
      </w:r>
    </w:p>
    <w:p w:rsidR="00FB4981" w:rsidRDefault="00FB4981" w:rsidP="00FB4981">
      <w:pPr>
        <w:pStyle w:val="NormalWeb"/>
        <w:spacing w:before="0" w:beforeAutospacing="0" w:after="0" w:afterAutospacing="0"/>
        <w:jc w:val="both"/>
        <w:textAlignment w:val="top"/>
        <w:rPr>
          <w:rFonts w:ascii="Arial" w:hAnsi="Arial" w:cs="Arial"/>
          <w:sz w:val="20"/>
          <w:szCs w:val="20"/>
          <w:lang w:val="tr-TR"/>
        </w:rPr>
      </w:pPr>
    </w:p>
    <w:p w:rsidR="00E12A6B" w:rsidRDefault="00E12A6B" w:rsidP="00FB4981">
      <w:pPr>
        <w:jc w:val="both"/>
        <w:rPr>
          <w:rFonts w:ascii="Arial" w:hAnsi="Arial" w:cs="Arial"/>
          <w:sz w:val="20"/>
          <w:szCs w:val="20"/>
          <w:lang w:val="tr-TR"/>
        </w:rPr>
      </w:pPr>
    </w:p>
    <w:p w:rsidR="00E12A6B" w:rsidRDefault="00E12A6B" w:rsidP="00FB4981">
      <w:pPr>
        <w:jc w:val="both"/>
        <w:rPr>
          <w:rFonts w:ascii="Arial" w:hAnsi="Arial" w:cs="Arial"/>
          <w:sz w:val="20"/>
          <w:szCs w:val="20"/>
          <w:lang w:val="tr-TR"/>
        </w:rPr>
      </w:pPr>
    </w:p>
    <w:p w:rsidR="00E12A6B" w:rsidRDefault="00E12A6B" w:rsidP="00FB4981">
      <w:pPr>
        <w:jc w:val="both"/>
        <w:rPr>
          <w:rFonts w:ascii="Arial" w:hAnsi="Arial" w:cs="Arial"/>
          <w:sz w:val="20"/>
          <w:szCs w:val="20"/>
          <w:lang w:val="tr-TR"/>
        </w:rPr>
      </w:pPr>
    </w:p>
    <w:p w:rsidR="00B4165A" w:rsidRPr="00F84F17" w:rsidRDefault="00B4165A" w:rsidP="00C957A6">
      <w:pPr>
        <w:widowControl/>
        <w:spacing w:before="225" w:after="225" w:line="240" w:lineRule="auto"/>
        <w:jc w:val="both"/>
        <w:textAlignment w:val="top"/>
        <w:rPr>
          <w:rFonts w:ascii="Arial" w:eastAsiaTheme="minorEastAsia" w:hAnsi="Arial" w:cs="Arial"/>
          <w:b/>
          <w:bCs/>
          <w:caps/>
          <w:sz w:val="26"/>
          <w:szCs w:val="26"/>
        </w:rPr>
      </w:pPr>
    </w:p>
    <w:p w:rsidR="00B4165A" w:rsidRPr="00FC0A17" w:rsidRDefault="00E12A6B" w:rsidP="00B4165A">
      <w:pPr>
        <w:widowControl/>
        <w:spacing w:before="100" w:beforeAutospacing="1" w:after="100" w:afterAutospacing="1" w:line="240" w:lineRule="auto"/>
        <w:jc w:val="both"/>
        <w:textAlignment w:val="top"/>
        <w:rPr>
          <w:rFonts w:ascii="Arial" w:eastAsiaTheme="minorEastAsia" w:hAnsi="Arial" w:cs="Arial"/>
          <w:b/>
          <w:bCs/>
          <w:caps/>
          <w:szCs w:val="26"/>
          <w:lang w:val="tr-TR"/>
        </w:rPr>
      </w:pPr>
      <w:r w:rsidRPr="00FC0A17">
        <w:rPr>
          <w:rFonts w:ascii="Arial" w:eastAsiaTheme="minorEastAsia" w:hAnsi="Arial" w:cs="Arial"/>
          <w:b/>
          <w:bCs/>
          <w:caps/>
          <w:szCs w:val="26"/>
          <w:lang w:val="tr-TR"/>
        </w:rPr>
        <w:t>2016</w:t>
      </w:r>
      <w:r>
        <w:rPr>
          <w:rFonts w:ascii="Arial" w:eastAsiaTheme="minorEastAsia" w:hAnsi="Arial" w:cs="Arial"/>
          <w:b/>
          <w:bCs/>
          <w:caps/>
          <w:szCs w:val="26"/>
          <w:lang w:val="tr-TR"/>
        </w:rPr>
        <w:t xml:space="preserve"> BEKLENTİLER </w:t>
      </w:r>
      <w:r w:rsidR="002C07E7">
        <w:rPr>
          <w:rFonts w:ascii="Arial" w:eastAsiaTheme="minorEastAsia" w:hAnsi="Arial" w:cs="Arial"/>
          <w:b/>
          <w:bCs/>
          <w:caps/>
          <w:szCs w:val="26"/>
          <w:lang w:val="tr-TR"/>
        </w:rPr>
        <w:t xml:space="preserve">                                                                                             </w:t>
      </w:r>
    </w:p>
    <w:p w:rsidR="00F94E43" w:rsidRPr="00FC0A17" w:rsidRDefault="00FC0A17" w:rsidP="000D7FAA">
      <w:pPr>
        <w:spacing w:before="120" w:after="0" w:line="288" w:lineRule="auto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G</w:t>
      </w:r>
      <w:r w:rsidR="00F94E43" w:rsidRPr="00FC0A17">
        <w:rPr>
          <w:rFonts w:ascii="Arial" w:hAnsi="Arial" w:cs="Arial"/>
          <w:sz w:val="20"/>
          <w:szCs w:val="20"/>
          <w:lang w:val="tr-TR"/>
        </w:rPr>
        <w:t xml:space="preserve">lobal </w:t>
      </w:r>
      <w:r>
        <w:rPr>
          <w:rFonts w:ascii="Arial" w:hAnsi="Arial" w:cs="Arial"/>
          <w:sz w:val="20"/>
          <w:szCs w:val="20"/>
          <w:lang w:val="tr-TR"/>
        </w:rPr>
        <w:t xml:space="preserve">otomotiv pazarının 2016 senesinde </w:t>
      </w:r>
      <w:r w:rsidR="00C704F0" w:rsidRPr="00FC0A17">
        <w:rPr>
          <w:rFonts w:ascii="Arial" w:hAnsi="Arial" w:cs="Arial"/>
          <w:sz w:val="20"/>
          <w:szCs w:val="20"/>
          <w:lang w:val="tr-TR"/>
        </w:rPr>
        <w:t>+</w:t>
      </w:r>
      <w:r>
        <w:rPr>
          <w:rFonts w:ascii="Arial" w:hAnsi="Arial" w:cs="Arial"/>
          <w:sz w:val="20"/>
          <w:szCs w:val="20"/>
          <w:lang w:val="tr-TR"/>
        </w:rPr>
        <w:t>%</w:t>
      </w:r>
      <w:r w:rsidR="00C704F0" w:rsidRPr="00FC0A17">
        <w:rPr>
          <w:rFonts w:ascii="Arial" w:hAnsi="Arial" w:cs="Arial"/>
          <w:sz w:val="20"/>
          <w:szCs w:val="20"/>
          <w:lang w:val="tr-TR"/>
        </w:rPr>
        <w:t>2</w:t>
      </w:r>
      <w:r>
        <w:rPr>
          <w:rFonts w:ascii="Arial" w:hAnsi="Arial" w:cs="Arial"/>
          <w:sz w:val="20"/>
          <w:szCs w:val="20"/>
          <w:lang w:val="tr-TR"/>
        </w:rPr>
        <w:t xml:space="preserve"> oranında büyüyeceği tahmin ediliyor.</w:t>
      </w:r>
      <w:r w:rsidR="00F94E43" w:rsidRPr="00FC0A17">
        <w:rPr>
          <w:rFonts w:ascii="Arial" w:hAnsi="Arial" w:cs="Arial"/>
          <w:sz w:val="20"/>
          <w:szCs w:val="20"/>
          <w:lang w:val="tr-TR"/>
        </w:rPr>
        <w:t xml:space="preserve"> </w:t>
      </w:r>
      <w:r>
        <w:rPr>
          <w:rFonts w:ascii="Arial" w:hAnsi="Arial" w:cs="Arial"/>
          <w:sz w:val="20"/>
          <w:szCs w:val="20"/>
          <w:lang w:val="tr-TR"/>
        </w:rPr>
        <w:t xml:space="preserve">Avrupa pazarı ilk çeyrekte beklenenden daha iyi performans gösterdi. Bununla birlikte daha önceki </w:t>
      </w:r>
      <w:r w:rsidRPr="00FC0A17">
        <w:rPr>
          <w:rFonts w:ascii="Arial" w:hAnsi="Arial" w:cs="Arial"/>
          <w:sz w:val="20"/>
          <w:szCs w:val="20"/>
          <w:lang w:val="tr-TR"/>
        </w:rPr>
        <w:t>+</w:t>
      </w:r>
      <w:r>
        <w:rPr>
          <w:rFonts w:ascii="Arial" w:hAnsi="Arial" w:cs="Arial"/>
          <w:sz w:val="20"/>
          <w:szCs w:val="20"/>
          <w:lang w:val="tr-TR"/>
        </w:rPr>
        <w:t xml:space="preserve">%2’lik tahminin ötesinde en az </w:t>
      </w:r>
      <w:r w:rsidRPr="00FC0A17">
        <w:rPr>
          <w:rFonts w:ascii="Arial" w:hAnsi="Arial" w:cs="Arial"/>
          <w:sz w:val="20"/>
          <w:szCs w:val="20"/>
          <w:lang w:val="tr-TR"/>
        </w:rPr>
        <w:t>+%5</w:t>
      </w:r>
      <w:r>
        <w:rPr>
          <w:rFonts w:ascii="Arial" w:hAnsi="Arial" w:cs="Arial"/>
          <w:sz w:val="20"/>
          <w:szCs w:val="20"/>
          <w:lang w:val="tr-TR"/>
        </w:rPr>
        <w:t xml:space="preserve"> artması bekleniyor</w:t>
      </w:r>
      <w:r w:rsidR="00F94E43" w:rsidRPr="00FC0A17">
        <w:rPr>
          <w:rFonts w:ascii="Arial" w:hAnsi="Arial" w:cs="Arial"/>
          <w:sz w:val="20"/>
          <w:szCs w:val="20"/>
          <w:lang w:val="tr-TR"/>
        </w:rPr>
        <w:t xml:space="preserve">. </w:t>
      </w:r>
      <w:r>
        <w:rPr>
          <w:rFonts w:ascii="Arial" w:hAnsi="Arial" w:cs="Arial"/>
          <w:sz w:val="20"/>
          <w:szCs w:val="20"/>
          <w:lang w:val="tr-TR"/>
        </w:rPr>
        <w:t xml:space="preserve">Fakat Brezilya pazarının </w:t>
      </w:r>
      <w:r w:rsidR="00776151">
        <w:rPr>
          <w:rFonts w:ascii="Arial" w:hAnsi="Arial" w:cs="Arial"/>
          <w:sz w:val="20"/>
          <w:szCs w:val="20"/>
          <w:lang w:val="tr-TR"/>
        </w:rPr>
        <w:t>öngörülenden</w:t>
      </w:r>
      <w:r>
        <w:rPr>
          <w:rFonts w:ascii="Arial" w:hAnsi="Arial" w:cs="Arial"/>
          <w:sz w:val="20"/>
          <w:szCs w:val="20"/>
          <w:lang w:val="tr-TR"/>
        </w:rPr>
        <w:t xml:space="preserve"> daha fazla düşüş göstereceği</w:t>
      </w:r>
      <w:r w:rsidR="00911AAB">
        <w:rPr>
          <w:rFonts w:ascii="Arial" w:hAnsi="Arial" w:cs="Arial"/>
          <w:sz w:val="20"/>
          <w:szCs w:val="20"/>
          <w:lang w:val="tr-TR"/>
        </w:rPr>
        <w:t>,</w:t>
      </w:r>
      <w:r>
        <w:rPr>
          <w:rFonts w:ascii="Arial" w:hAnsi="Arial" w:cs="Arial"/>
          <w:sz w:val="20"/>
          <w:szCs w:val="20"/>
          <w:lang w:val="tr-TR"/>
        </w:rPr>
        <w:t xml:space="preserve"> tahminler arasında </w:t>
      </w:r>
      <w:r w:rsidR="00C704F0" w:rsidRPr="00FC0A17">
        <w:rPr>
          <w:rFonts w:ascii="Arial" w:hAnsi="Arial" w:cs="Arial"/>
          <w:sz w:val="20"/>
          <w:szCs w:val="20"/>
          <w:lang w:val="tr-TR"/>
        </w:rPr>
        <w:t>(</w:t>
      </w:r>
      <w:r>
        <w:rPr>
          <w:rFonts w:ascii="Arial" w:hAnsi="Arial" w:cs="Arial"/>
          <w:sz w:val="20"/>
          <w:szCs w:val="20"/>
          <w:lang w:val="tr-TR"/>
        </w:rPr>
        <w:t xml:space="preserve">daha önceki -%6’lık tahmin yerine </w:t>
      </w:r>
      <w:r w:rsidR="00C704F0" w:rsidRPr="00FC0A17">
        <w:rPr>
          <w:rFonts w:ascii="Arial" w:hAnsi="Arial" w:cs="Arial"/>
          <w:sz w:val="20"/>
          <w:szCs w:val="20"/>
          <w:lang w:val="tr-TR"/>
        </w:rPr>
        <w:t>-</w:t>
      </w:r>
      <w:r>
        <w:rPr>
          <w:rFonts w:ascii="Arial" w:hAnsi="Arial" w:cs="Arial"/>
          <w:sz w:val="20"/>
          <w:szCs w:val="20"/>
          <w:lang w:val="tr-TR"/>
        </w:rPr>
        <w:t>%15% ila</w:t>
      </w:r>
      <w:r w:rsidR="00F94E43" w:rsidRPr="00FC0A17">
        <w:rPr>
          <w:rFonts w:ascii="Arial" w:hAnsi="Arial" w:cs="Arial"/>
          <w:sz w:val="20"/>
          <w:szCs w:val="20"/>
          <w:lang w:val="tr-TR"/>
        </w:rPr>
        <w:t xml:space="preserve"> </w:t>
      </w:r>
      <w:r w:rsidR="00C704F0" w:rsidRPr="00FC0A17">
        <w:rPr>
          <w:rFonts w:ascii="Arial" w:hAnsi="Arial" w:cs="Arial"/>
          <w:sz w:val="20"/>
          <w:szCs w:val="20"/>
          <w:lang w:val="tr-TR"/>
        </w:rPr>
        <w:t>-</w:t>
      </w:r>
      <w:r>
        <w:rPr>
          <w:rFonts w:ascii="Arial" w:hAnsi="Arial" w:cs="Arial"/>
          <w:sz w:val="20"/>
          <w:szCs w:val="20"/>
          <w:lang w:val="tr-TR"/>
        </w:rPr>
        <w:t>%</w:t>
      </w:r>
      <w:r w:rsidR="00F94E43" w:rsidRPr="00FC0A17">
        <w:rPr>
          <w:rFonts w:ascii="Arial" w:hAnsi="Arial" w:cs="Arial"/>
          <w:sz w:val="20"/>
          <w:szCs w:val="20"/>
          <w:lang w:val="tr-TR"/>
        </w:rPr>
        <w:t>20</w:t>
      </w:r>
      <w:r>
        <w:rPr>
          <w:rFonts w:ascii="Arial" w:hAnsi="Arial" w:cs="Arial"/>
          <w:sz w:val="20"/>
          <w:szCs w:val="20"/>
          <w:lang w:val="tr-TR"/>
        </w:rPr>
        <w:t xml:space="preserve"> arası</w:t>
      </w:r>
      <w:r w:rsidR="00C704F0" w:rsidRPr="00FC0A17">
        <w:rPr>
          <w:rFonts w:ascii="Arial" w:hAnsi="Arial" w:cs="Arial"/>
          <w:sz w:val="20"/>
          <w:szCs w:val="20"/>
          <w:lang w:val="tr-TR"/>
        </w:rPr>
        <w:t>)</w:t>
      </w:r>
      <w:r w:rsidR="00F94E43" w:rsidRPr="00FC0A17">
        <w:rPr>
          <w:rFonts w:ascii="Arial" w:hAnsi="Arial" w:cs="Arial"/>
          <w:sz w:val="20"/>
          <w:szCs w:val="20"/>
          <w:lang w:val="tr-TR"/>
        </w:rPr>
        <w:t>.</w:t>
      </w:r>
    </w:p>
    <w:p w:rsidR="00342944" w:rsidRPr="00FC0A17" w:rsidRDefault="00FC0A17" w:rsidP="00DB6605">
      <w:pPr>
        <w:pStyle w:val="NormalWeb"/>
        <w:spacing w:before="120" w:beforeAutospacing="0" w:after="0" w:afterAutospacing="0" w:line="288" w:lineRule="auto"/>
        <w:jc w:val="both"/>
        <w:textAlignment w:val="top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Bu bağlamda </w:t>
      </w:r>
      <w:r w:rsidR="00F94E43" w:rsidRPr="00FC0A17">
        <w:rPr>
          <w:rFonts w:ascii="Arial" w:hAnsi="Arial" w:cs="Arial"/>
          <w:sz w:val="20"/>
          <w:szCs w:val="20"/>
          <w:lang w:val="tr-TR"/>
        </w:rPr>
        <w:t>Renault</w:t>
      </w:r>
      <w:r w:rsidR="00D32EAD" w:rsidRPr="00FC0A17">
        <w:rPr>
          <w:rFonts w:ascii="Arial" w:hAnsi="Arial" w:cs="Arial"/>
          <w:sz w:val="20"/>
          <w:szCs w:val="20"/>
          <w:lang w:val="tr-TR"/>
        </w:rPr>
        <w:t xml:space="preserve"> </w:t>
      </w:r>
      <w:r>
        <w:rPr>
          <w:rFonts w:ascii="Arial" w:hAnsi="Arial" w:cs="Arial"/>
          <w:sz w:val="20"/>
          <w:szCs w:val="20"/>
          <w:lang w:val="tr-TR"/>
        </w:rPr>
        <w:t>Grubu</w:t>
      </w:r>
      <w:r w:rsidR="006B1FE1">
        <w:rPr>
          <w:rFonts w:ascii="Arial" w:hAnsi="Arial" w:cs="Arial"/>
          <w:sz w:val="20"/>
          <w:szCs w:val="20"/>
          <w:lang w:val="tr-TR"/>
        </w:rPr>
        <w:t>’</w:t>
      </w:r>
      <w:r>
        <w:rPr>
          <w:rFonts w:ascii="Arial" w:hAnsi="Arial" w:cs="Arial"/>
          <w:sz w:val="20"/>
          <w:szCs w:val="20"/>
          <w:lang w:val="tr-TR"/>
        </w:rPr>
        <w:t xml:space="preserve">nun hedefleri </w:t>
      </w:r>
      <w:r w:rsidR="00E12A6B">
        <w:rPr>
          <w:rFonts w:ascii="Arial" w:hAnsi="Arial" w:cs="Arial"/>
          <w:sz w:val="20"/>
          <w:szCs w:val="20"/>
          <w:lang w:val="tr-TR"/>
        </w:rPr>
        <w:t>şu şekilde sıralanabilir (güncel durum</w:t>
      </w:r>
      <w:r>
        <w:rPr>
          <w:rFonts w:ascii="Arial" w:hAnsi="Arial" w:cs="Arial"/>
          <w:sz w:val="20"/>
          <w:szCs w:val="20"/>
          <w:lang w:val="tr-TR"/>
        </w:rPr>
        <w:t xml:space="preserve"> kapsamında)</w:t>
      </w:r>
      <w:r w:rsidR="00F94E43" w:rsidRPr="00FC0A17">
        <w:rPr>
          <w:rFonts w:ascii="Arial" w:hAnsi="Arial" w:cs="Arial"/>
          <w:sz w:val="20"/>
          <w:szCs w:val="20"/>
          <w:lang w:val="tr-TR"/>
        </w:rPr>
        <w:t>:</w:t>
      </w:r>
    </w:p>
    <w:p w:rsidR="00F94E43" w:rsidRPr="00FC0A17" w:rsidRDefault="00E12A6B" w:rsidP="00F94E43">
      <w:pPr>
        <w:pStyle w:val="NormalWeb"/>
        <w:numPr>
          <w:ilvl w:val="0"/>
          <w:numId w:val="13"/>
        </w:numPr>
        <w:spacing w:before="120" w:beforeAutospacing="0" w:after="0" w:afterAutospacing="0" w:line="288" w:lineRule="auto"/>
        <w:jc w:val="both"/>
        <w:textAlignment w:val="top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Grup cirosunu</w:t>
      </w:r>
      <w:r w:rsidR="00FC0A17">
        <w:rPr>
          <w:rFonts w:ascii="Arial" w:hAnsi="Arial" w:cs="Arial"/>
          <w:sz w:val="20"/>
          <w:szCs w:val="20"/>
          <w:lang w:val="tr-TR"/>
        </w:rPr>
        <w:t xml:space="preserve"> artırmak</w:t>
      </w:r>
      <w:r w:rsidR="00F94E43" w:rsidRPr="00FC0A17">
        <w:rPr>
          <w:rFonts w:ascii="Arial" w:hAnsi="Arial" w:cs="Arial"/>
          <w:sz w:val="20"/>
          <w:szCs w:val="20"/>
          <w:lang w:val="tr-TR"/>
        </w:rPr>
        <w:t xml:space="preserve"> (</w:t>
      </w:r>
      <w:r w:rsidR="00FC0A17">
        <w:rPr>
          <w:rFonts w:ascii="Arial" w:hAnsi="Arial" w:cs="Arial"/>
          <w:sz w:val="20"/>
          <w:szCs w:val="20"/>
          <w:lang w:val="tr-TR"/>
        </w:rPr>
        <w:t xml:space="preserve">sabit </w:t>
      </w:r>
      <w:r>
        <w:rPr>
          <w:rFonts w:ascii="Arial" w:hAnsi="Arial" w:cs="Arial"/>
          <w:sz w:val="20"/>
          <w:szCs w:val="20"/>
          <w:lang w:val="tr-TR"/>
        </w:rPr>
        <w:t>kurlarla</w:t>
      </w:r>
      <w:r w:rsidR="00F94E43" w:rsidRPr="00FC0A17">
        <w:rPr>
          <w:rFonts w:ascii="Arial" w:hAnsi="Arial" w:cs="Arial"/>
          <w:sz w:val="20"/>
          <w:szCs w:val="20"/>
          <w:lang w:val="tr-TR"/>
        </w:rPr>
        <w:t xml:space="preserve">). </w:t>
      </w:r>
    </w:p>
    <w:p w:rsidR="00F94E43" w:rsidRPr="00FC0A17" w:rsidRDefault="00FC0A17" w:rsidP="00F94E43">
      <w:pPr>
        <w:pStyle w:val="NormalWeb"/>
        <w:numPr>
          <w:ilvl w:val="0"/>
          <w:numId w:val="13"/>
        </w:numPr>
        <w:spacing w:before="120" w:beforeAutospacing="0" w:after="0" w:afterAutospacing="0" w:line="288" w:lineRule="auto"/>
        <w:jc w:val="both"/>
        <w:textAlignment w:val="top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Grup işletme </w:t>
      </w:r>
      <w:proofErr w:type="gramStart"/>
      <w:r>
        <w:rPr>
          <w:rFonts w:ascii="Arial" w:hAnsi="Arial" w:cs="Arial"/>
          <w:sz w:val="20"/>
          <w:szCs w:val="20"/>
          <w:lang w:val="tr-TR"/>
        </w:rPr>
        <w:t>marjını</w:t>
      </w:r>
      <w:proofErr w:type="gramEnd"/>
      <w:r w:rsidR="00E12A6B">
        <w:rPr>
          <w:rFonts w:ascii="Arial" w:hAnsi="Arial" w:cs="Arial"/>
          <w:sz w:val="20"/>
          <w:szCs w:val="20"/>
          <w:lang w:val="tr-TR"/>
        </w:rPr>
        <w:t xml:space="preserve"> iyileştirmek</w:t>
      </w:r>
      <w:r w:rsidR="00F94E43" w:rsidRPr="00FC0A17">
        <w:rPr>
          <w:rFonts w:ascii="Arial" w:hAnsi="Arial" w:cs="Arial"/>
          <w:sz w:val="20"/>
          <w:szCs w:val="20"/>
          <w:lang w:val="tr-TR"/>
        </w:rPr>
        <w:t>.</w:t>
      </w:r>
    </w:p>
    <w:p w:rsidR="00F94E43" w:rsidRPr="00FC0A17" w:rsidRDefault="00FC0A17" w:rsidP="00F94E43">
      <w:pPr>
        <w:pStyle w:val="NormalWeb"/>
        <w:numPr>
          <w:ilvl w:val="0"/>
          <w:numId w:val="13"/>
        </w:numPr>
        <w:spacing w:before="120" w:beforeAutospacing="0" w:after="0" w:afterAutospacing="0" w:line="288" w:lineRule="auto"/>
        <w:jc w:val="both"/>
        <w:textAlignment w:val="top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Pozitif </w:t>
      </w:r>
      <w:proofErr w:type="spellStart"/>
      <w:r>
        <w:rPr>
          <w:rFonts w:ascii="Arial" w:hAnsi="Arial" w:cs="Arial"/>
          <w:sz w:val="20"/>
          <w:szCs w:val="20"/>
          <w:lang w:val="tr-TR"/>
        </w:rPr>
        <w:t>operasyonel</w:t>
      </w:r>
      <w:proofErr w:type="spellEnd"/>
      <w:r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="00E12A6B">
        <w:rPr>
          <w:rFonts w:ascii="Arial" w:hAnsi="Arial" w:cs="Arial"/>
          <w:sz w:val="20"/>
          <w:szCs w:val="20"/>
          <w:lang w:val="tr-TR"/>
        </w:rPr>
        <w:t>free</w:t>
      </w:r>
      <w:proofErr w:type="spellEnd"/>
      <w:r w:rsidR="00E12A6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="00E12A6B">
        <w:rPr>
          <w:rFonts w:ascii="Arial" w:hAnsi="Arial" w:cs="Arial"/>
          <w:sz w:val="20"/>
          <w:szCs w:val="20"/>
          <w:lang w:val="tr-TR"/>
        </w:rPr>
        <w:t>cash</w:t>
      </w:r>
      <w:proofErr w:type="spellEnd"/>
      <w:r w:rsidR="00E12A6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="00E12A6B">
        <w:rPr>
          <w:rFonts w:ascii="Arial" w:hAnsi="Arial" w:cs="Arial"/>
          <w:sz w:val="20"/>
          <w:szCs w:val="20"/>
          <w:lang w:val="tr-TR"/>
        </w:rPr>
        <w:t>flow</w:t>
      </w:r>
      <w:proofErr w:type="spellEnd"/>
      <w:r w:rsidR="00E12A6B">
        <w:rPr>
          <w:rFonts w:ascii="Arial" w:hAnsi="Arial" w:cs="Arial"/>
          <w:sz w:val="20"/>
          <w:szCs w:val="20"/>
          <w:lang w:val="tr-TR"/>
        </w:rPr>
        <w:t xml:space="preserve"> </w:t>
      </w:r>
      <w:r>
        <w:rPr>
          <w:rFonts w:ascii="Arial" w:hAnsi="Arial" w:cs="Arial"/>
          <w:sz w:val="20"/>
          <w:szCs w:val="20"/>
          <w:lang w:val="tr-TR"/>
        </w:rPr>
        <w:t>oluşturmak</w:t>
      </w:r>
      <w:r w:rsidR="00F94E43" w:rsidRPr="00FC0A17">
        <w:rPr>
          <w:rFonts w:ascii="Arial" w:hAnsi="Arial" w:cs="Arial"/>
          <w:sz w:val="20"/>
          <w:szCs w:val="20"/>
          <w:lang w:val="tr-TR"/>
        </w:rPr>
        <w:t>.</w:t>
      </w:r>
      <w:r w:rsidR="00F94E43" w:rsidRPr="00FC0A17">
        <w:rPr>
          <w:rFonts w:ascii="Arial" w:hAnsi="Arial" w:cs="Arial"/>
          <w:i/>
          <w:sz w:val="20"/>
          <w:szCs w:val="20"/>
          <w:lang w:val="tr-TR"/>
        </w:rPr>
        <w:t xml:space="preserve"> </w:t>
      </w:r>
    </w:p>
    <w:p w:rsidR="00E12A6B" w:rsidRPr="001344A5" w:rsidRDefault="00E12A6B" w:rsidP="00E12A6B">
      <w:pPr>
        <w:pStyle w:val="NormalWeb"/>
        <w:spacing w:before="0" w:beforeAutospacing="0" w:after="0" w:afterAutospacing="0"/>
        <w:ind w:right="1021"/>
        <w:jc w:val="both"/>
        <w:textAlignment w:val="top"/>
        <w:rPr>
          <w:rFonts w:ascii="Arial" w:hAnsi="Arial" w:cs="Arial"/>
          <w:sz w:val="20"/>
          <w:szCs w:val="20"/>
          <w:lang w:val="tr-TR"/>
        </w:rPr>
      </w:pPr>
    </w:p>
    <w:p w:rsidR="00DB6605" w:rsidRPr="00FC0A17" w:rsidRDefault="002C07E7" w:rsidP="00DB6605">
      <w:pPr>
        <w:pStyle w:val="NormalWeb"/>
        <w:spacing w:before="120" w:beforeAutospacing="0" w:after="0" w:afterAutospacing="0" w:line="288" w:lineRule="auto"/>
        <w:jc w:val="both"/>
        <w:textAlignment w:val="top"/>
        <w:rPr>
          <w:b/>
          <w:bCs/>
          <w:lang w:val="tr-TR" w:eastAsia="ja-JP"/>
        </w:rPr>
      </w:pPr>
      <w:r>
        <w:rPr>
          <w:b/>
          <w:bCs/>
          <w:lang w:val="tr-TR" w:eastAsia="ja-JP"/>
        </w:rPr>
        <w:t xml:space="preserve">                                                                                                             </w:t>
      </w:r>
    </w:p>
    <w:p w:rsidR="00F94E43" w:rsidRPr="00FC0A17" w:rsidRDefault="00F94E43" w:rsidP="00F94E43">
      <w:pPr>
        <w:pStyle w:val="NormalWeb"/>
        <w:spacing w:before="120" w:line="288" w:lineRule="auto"/>
        <w:jc w:val="both"/>
        <w:textAlignment w:val="top"/>
        <w:rPr>
          <w:rFonts w:ascii="Arial" w:hAnsi="Arial" w:cs="Arial"/>
          <w:b/>
          <w:bCs/>
          <w:sz w:val="20"/>
          <w:lang w:val="tr-TR" w:eastAsia="ja-JP"/>
        </w:rPr>
      </w:pPr>
      <w:r w:rsidRPr="00FC0A17">
        <w:rPr>
          <w:rFonts w:ascii="Arial" w:hAnsi="Arial" w:cs="Arial"/>
          <w:b/>
          <w:bCs/>
          <w:sz w:val="20"/>
          <w:lang w:val="tr-TR" w:eastAsia="ja-JP"/>
        </w:rPr>
        <w:t xml:space="preserve">Renault </w:t>
      </w:r>
      <w:r w:rsidR="00E12A6B">
        <w:rPr>
          <w:rFonts w:ascii="Arial" w:hAnsi="Arial" w:cs="Arial"/>
          <w:b/>
          <w:bCs/>
          <w:sz w:val="20"/>
          <w:lang w:val="tr-TR" w:eastAsia="ja-JP"/>
        </w:rPr>
        <w:t xml:space="preserve">Grubu </w:t>
      </w:r>
      <w:proofErr w:type="gramStart"/>
      <w:r w:rsidR="00E12A6B">
        <w:rPr>
          <w:rFonts w:ascii="Arial" w:hAnsi="Arial" w:cs="Arial"/>
          <w:b/>
          <w:bCs/>
          <w:sz w:val="20"/>
          <w:lang w:val="tr-TR" w:eastAsia="ja-JP"/>
        </w:rPr>
        <w:t>konsolide</w:t>
      </w:r>
      <w:proofErr w:type="gramEnd"/>
      <w:r w:rsidR="00E12A6B">
        <w:rPr>
          <w:rFonts w:ascii="Arial" w:hAnsi="Arial" w:cs="Arial"/>
          <w:b/>
          <w:bCs/>
          <w:sz w:val="20"/>
          <w:lang w:val="tr-TR" w:eastAsia="ja-JP"/>
        </w:rPr>
        <w:t xml:space="preserve"> cirosu</w:t>
      </w:r>
    </w:p>
    <w:p w:rsidR="00DB6605" w:rsidRPr="00FC0A17" w:rsidRDefault="00DB6605" w:rsidP="00DB6605">
      <w:pPr>
        <w:pStyle w:val="NormalWeb"/>
        <w:spacing w:before="120" w:beforeAutospacing="0" w:after="0" w:afterAutospacing="0" w:line="288" w:lineRule="auto"/>
        <w:jc w:val="both"/>
        <w:textAlignment w:val="top"/>
        <w:rPr>
          <w:b/>
          <w:bCs/>
          <w:lang w:val="tr-TR" w:eastAsia="ja-JP"/>
        </w:rPr>
      </w:pPr>
    </w:p>
    <w:tbl>
      <w:tblPr>
        <w:tblW w:w="6920" w:type="dxa"/>
        <w:jc w:val="center"/>
        <w:tblLook w:val="0000" w:firstRow="0" w:lastRow="0" w:firstColumn="0" w:lastColumn="0" w:noHBand="0" w:noVBand="0"/>
      </w:tblPr>
      <w:tblGrid>
        <w:gridCol w:w="2542"/>
        <w:gridCol w:w="1298"/>
        <w:gridCol w:w="1540"/>
        <w:gridCol w:w="1540"/>
      </w:tblGrid>
      <w:tr w:rsidR="008F01E1" w:rsidRPr="00FC0A17" w:rsidTr="00DB6605">
        <w:trPr>
          <w:trHeight w:val="270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1E1" w:rsidRPr="00FC0A17" w:rsidRDefault="008F01E1" w:rsidP="00FC0A17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FC0A17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F94E43" w:rsidRPr="00FC0A17">
              <w:rPr>
                <w:rFonts w:ascii="Arial" w:hAnsi="Arial" w:cs="Arial"/>
                <w:sz w:val="20"/>
                <w:szCs w:val="20"/>
                <w:lang w:val="tr-TR"/>
              </w:rPr>
              <w:t>(€ mil</w:t>
            </w:r>
            <w:r w:rsidR="00FC0A17">
              <w:rPr>
                <w:rFonts w:ascii="Arial" w:hAnsi="Arial" w:cs="Arial"/>
                <w:sz w:val="20"/>
                <w:szCs w:val="20"/>
                <w:lang w:val="tr-TR"/>
              </w:rPr>
              <w:t>yon olarak</w:t>
            </w:r>
            <w:r w:rsidRPr="00FC0A17">
              <w:rPr>
                <w:rFonts w:ascii="Arial" w:hAnsi="Arial" w:cs="Arial"/>
                <w:sz w:val="20"/>
                <w:szCs w:val="20"/>
                <w:lang w:val="tr-TR"/>
              </w:rPr>
              <w:t>)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E1" w:rsidRPr="00FC0A17" w:rsidRDefault="008F01E1" w:rsidP="009618BF">
            <w:pPr>
              <w:tabs>
                <w:tab w:val="decimal" w:pos="505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FC0A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tr-TR"/>
              </w:rPr>
              <w:t>2016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1E1" w:rsidRPr="00FC0A17" w:rsidRDefault="008F01E1" w:rsidP="003A0375">
            <w:pPr>
              <w:tabs>
                <w:tab w:val="decimal" w:pos="505"/>
              </w:tabs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FC0A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tr-TR"/>
              </w:rPr>
              <w:t>2015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1E1" w:rsidRPr="00FC0A17" w:rsidRDefault="00FC0A17" w:rsidP="00F5649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tr-TR"/>
              </w:rPr>
              <w:t>Değişim</w:t>
            </w:r>
          </w:p>
          <w:p w:rsidR="008F01E1" w:rsidRPr="00FC0A17" w:rsidRDefault="008F01E1" w:rsidP="009618BF">
            <w:pPr>
              <w:tabs>
                <w:tab w:val="decimal" w:pos="525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FC0A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tr-TR"/>
              </w:rPr>
              <w:t>2016/2015</w:t>
            </w:r>
          </w:p>
        </w:tc>
      </w:tr>
      <w:tr w:rsidR="008F01E1" w:rsidRPr="00FC0A17" w:rsidTr="00DB6605">
        <w:trPr>
          <w:trHeight w:val="270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F01E1" w:rsidRPr="00FC0A17" w:rsidRDefault="00FC0A17" w:rsidP="00FC0A17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tr-TR"/>
              </w:rPr>
              <w:t>1’inci Çeyrek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01E1" w:rsidRPr="00FC0A17" w:rsidRDefault="008F01E1" w:rsidP="00F5649B">
            <w:pPr>
              <w:tabs>
                <w:tab w:val="decimal" w:pos="505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F01E1" w:rsidRPr="00FC0A17" w:rsidRDefault="008F01E1" w:rsidP="00F5649B">
            <w:pPr>
              <w:tabs>
                <w:tab w:val="decimal" w:pos="505"/>
              </w:tabs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tr-T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F01E1" w:rsidRPr="00FC0A17" w:rsidRDefault="008F01E1" w:rsidP="00F5649B">
            <w:pPr>
              <w:tabs>
                <w:tab w:val="decimal" w:pos="525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</w:p>
        </w:tc>
      </w:tr>
      <w:tr w:rsidR="008F01E1" w:rsidRPr="00FC0A17" w:rsidTr="00DB6605">
        <w:trPr>
          <w:trHeight w:val="27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F01E1" w:rsidRPr="00FC0A17" w:rsidRDefault="00E12A6B" w:rsidP="00F5649B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Otomobil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1E1" w:rsidRPr="00FC0A17" w:rsidRDefault="00B95C8E" w:rsidP="009618BF">
            <w:pPr>
              <w:tabs>
                <w:tab w:val="decimal" w:pos="505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9.</w:t>
            </w:r>
            <w:r w:rsidR="008F01E1" w:rsidRPr="00FC0A17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942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F01E1" w:rsidRPr="00FC0A17" w:rsidRDefault="00B95C8E" w:rsidP="003A0375">
            <w:pPr>
              <w:tabs>
                <w:tab w:val="decimal" w:pos="505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8.</w:t>
            </w:r>
            <w:r w:rsidR="008F01E1" w:rsidRPr="00FC0A17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829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F01E1" w:rsidRPr="00FC0A17" w:rsidRDefault="008F01E1" w:rsidP="00D32EAD">
            <w:pPr>
              <w:tabs>
                <w:tab w:val="decimal" w:pos="525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FC0A17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+12</w:t>
            </w:r>
            <w:r w:rsidR="00D32EAD" w:rsidRPr="00FC0A17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.</w:t>
            </w:r>
            <w:r w:rsidRPr="00FC0A17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6 %</w:t>
            </w:r>
          </w:p>
        </w:tc>
      </w:tr>
      <w:tr w:rsidR="008F01E1" w:rsidRPr="00FC0A17" w:rsidTr="00DB6605">
        <w:trPr>
          <w:trHeight w:val="27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F01E1" w:rsidRPr="00FC0A17" w:rsidRDefault="00FC0A17" w:rsidP="00FC0A17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Satış</w:t>
            </w:r>
            <w:r w:rsidR="00F94E43" w:rsidRPr="00FC0A17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 xml:space="preserve"> Finan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smanı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1E1" w:rsidRPr="00FC0A17" w:rsidRDefault="008F01E1" w:rsidP="009618BF">
            <w:pPr>
              <w:tabs>
                <w:tab w:val="decimal" w:pos="505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FC0A17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 xml:space="preserve"> </w:t>
            </w:r>
            <w:r w:rsidR="00D32EAD" w:rsidRPr="00FC0A17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 xml:space="preserve">  </w:t>
            </w:r>
            <w:r w:rsidRPr="00FC0A17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547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F01E1" w:rsidRPr="00FC0A17" w:rsidRDefault="00E12A6B" w:rsidP="003A0375">
            <w:pPr>
              <w:tabs>
                <w:tab w:val="decimal" w:pos="505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 xml:space="preserve">  </w:t>
            </w:r>
            <w:r w:rsidR="008F01E1" w:rsidRPr="00FC0A17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 xml:space="preserve"> 559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F01E1" w:rsidRPr="00FC0A17" w:rsidRDefault="008F01E1" w:rsidP="00D32EAD">
            <w:pPr>
              <w:tabs>
                <w:tab w:val="decimal" w:pos="525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FC0A17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-2</w:t>
            </w:r>
            <w:r w:rsidR="00D32EAD" w:rsidRPr="00FC0A17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.</w:t>
            </w:r>
            <w:r w:rsidRPr="00FC0A17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1 %</w:t>
            </w:r>
          </w:p>
        </w:tc>
      </w:tr>
      <w:tr w:rsidR="008F01E1" w:rsidRPr="00FC0A17" w:rsidTr="00DB6605">
        <w:trPr>
          <w:trHeight w:val="144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01E1" w:rsidRPr="00FC0A17" w:rsidRDefault="008F01E1" w:rsidP="00F5649B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1E1" w:rsidRPr="00FC0A17" w:rsidRDefault="008F01E1" w:rsidP="00F5649B">
            <w:pPr>
              <w:tabs>
                <w:tab w:val="decimal" w:pos="50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01E1" w:rsidRPr="00FC0A17" w:rsidRDefault="008F01E1" w:rsidP="00F5649B">
            <w:pPr>
              <w:tabs>
                <w:tab w:val="decimal" w:pos="50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01E1" w:rsidRPr="00FC0A17" w:rsidRDefault="008F01E1" w:rsidP="00F5649B">
            <w:pPr>
              <w:tabs>
                <w:tab w:val="decimal" w:pos="525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tr-TR"/>
              </w:rPr>
            </w:pPr>
          </w:p>
        </w:tc>
      </w:tr>
      <w:tr w:rsidR="008F01E1" w:rsidRPr="00FC0A17" w:rsidTr="00DB6605">
        <w:trPr>
          <w:trHeight w:val="144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01E1" w:rsidRPr="00FC0A17" w:rsidRDefault="008F01E1" w:rsidP="00F5649B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FC0A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tr-TR"/>
              </w:rPr>
              <w:t>To</w:t>
            </w:r>
            <w:r w:rsidR="00FC0A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tr-TR"/>
              </w:rPr>
              <w:t>plam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1E1" w:rsidRPr="00FC0A17" w:rsidRDefault="00B95C8E" w:rsidP="009618BF">
            <w:pPr>
              <w:tabs>
                <w:tab w:val="decimal" w:pos="505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tr-TR"/>
              </w:rPr>
              <w:t xml:space="preserve"> 10.</w:t>
            </w:r>
            <w:r w:rsidR="008F01E1" w:rsidRPr="00FC0A17">
              <w:rPr>
                <w:rFonts w:ascii="Arial" w:hAnsi="Arial" w:cs="Arial"/>
                <w:b/>
                <w:color w:val="000000"/>
                <w:sz w:val="20"/>
                <w:szCs w:val="20"/>
                <w:lang w:val="tr-TR"/>
              </w:rPr>
              <w:t xml:space="preserve">489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01E1" w:rsidRPr="00FC0A17" w:rsidRDefault="008F01E1" w:rsidP="00586C4B">
            <w:pPr>
              <w:tabs>
                <w:tab w:val="decimal" w:pos="505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FC0A17">
              <w:rPr>
                <w:rFonts w:ascii="Arial" w:hAnsi="Arial" w:cs="Arial"/>
                <w:b/>
                <w:color w:val="000000"/>
                <w:sz w:val="20"/>
                <w:szCs w:val="20"/>
                <w:lang w:val="tr-TR"/>
              </w:rPr>
              <w:t xml:space="preserve"> </w:t>
            </w:r>
            <w:r w:rsidR="00B95C8E">
              <w:rPr>
                <w:rFonts w:ascii="Arial" w:hAnsi="Arial" w:cs="Arial"/>
                <w:b/>
                <w:color w:val="000000"/>
                <w:sz w:val="20"/>
                <w:szCs w:val="20"/>
                <w:lang w:val="tr-TR"/>
              </w:rPr>
              <w:t>9.</w:t>
            </w:r>
            <w:r w:rsidR="00586C4B" w:rsidRPr="00FC0A17">
              <w:rPr>
                <w:rFonts w:ascii="Arial" w:hAnsi="Arial" w:cs="Arial"/>
                <w:b/>
                <w:color w:val="000000"/>
                <w:sz w:val="20"/>
                <w:szCs w:val="20"/>
                <w:lang w:val="tr-TR"/>
              </w:rPr>
              <w:t xml:space="preserve">388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01E1" w:rsidRPr="00FC0A17" w:rsidRDefault="008F01E1" w:rsidP="00D32EAD">
            <w:pPr>
              <w:tabs>
                <w:tab w:val="decimal" w:pos="525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FC0A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tr-TR"/>
              </w:rPr>
              <w:t>+11</w:t>
            </w:r>
            <w:r w:rsidR="00D32EAD" w:rsidRPr="00FC0A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tr-TR"/>
              </w:rPr>
              <w:t>.</w:t>
            </w:r>
            <w:r w:rsidRPr="00FC0A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tr-TR"/>
              </w:rPr>
              <w:t>7 %</w:t>
            </w:r>
          </w:p>
        </w:tc>
      </w:tr>
    </w:tbl>
    <w:p w:rsidR="00342944" w:rsidRPr="00FC0A17" w:rsidRDefault="00342944" w:rsidP="008A5D2E">
      <w:pPr>
        <w:widowControl/>
        <w:spacing w:before="225" w:after="225" w:line="240" w:lineRule="auto"/>
        <w:ind w:left="964"/>
        <w:jc w:val="both"/>
        <w:textAlignment w:val="top"/>
        <w:rPr>
          <w:rFonts w:ascii="Arial" w:eastAsiaTheme="minorEastAsia" w:hAnsi="Arial" w:cs="Arial"/>
          <w:b/>
          <w:bCs/>
          <w:caps/>
          <w:sz w:val="26"/>
          <w:szCs w:val="26"/>
          <w:lang w:val="tr-TR"/>
        </w:rPr>
      </w:pPr>
    </w:p>
    <w:p w:rsidR="00DB6605" w:rsidRPr="00FC0A17" w:rsidRDefault="00DB6605" w:rsidP="008A5D2E">
      <w:pPr>
        <w:widowControl/>
        <w:spacing w:before="225" w:after="225" w:line="240" w:lineRule="auto"/>
        <w:ind w:left="964"/>
        <w:jc w:val="both"/>
        <w:textAlignment w:val="top"/>
        <w:rPr>
          <w:rFonts w:ascii="Arial" w:eastAsiaTheme="minorEastAsia" w:hAnsi="Arial" w:cs="Arial"/>
          <w:b/>
          <w:bCs/>
          <w:caps/>
          <w:sz w:val="26"/>
          <w:szCs w:val="26"/>
          <w:lang w:val="tr-TR"/>
        </w:rPr>
      </w:pPr>
    </w:p>
    <w:p w:rsidR="00BF1B9D" w:rsidRPr="00FC0A17" w:rsidRDefault="00BF1B9D" w:rsidP="008A5D2E">
      <w:pPr>
        <w:widowControl/>
        <w:spacing w:before="225" w:after="225" w:line="240" w:lineRule="auto"/>
        <w:ind w:left="964"/>
        <w:jc w:val="both"/>
        <w:textAlignment w:val="top"/>
        <w:rPr>
          <w:rFonts w:ascii="Arial" w:eastAsiaTheme="minorEastAsia" w:hAnsi="Arial" w:cs="Arial"/>
          <w:b/>
          <w:bCs/>
          <w:caps/>
          <w:sz w:val="26"/>
          <w:szCs w:val="26"/>
          <w:lang w:val="tr-TR"/>
        </w:rPr>
      </w:pPr>
    </w:p>
    <w:bookmarkEnd w:id="0"/>
    <w:p w:rsidR="00DB6605" w:rsidRPr="00FC0A17" w:rsidRDefault="00DB6605" w:rsidP="008A5D2E">
      <w:pPr>
        <w:widowControl/>
        <w:spacing w:before="225" w:after="225" w:line="240" w:lineRule="auto"/>
        <w:ind w:left="964"/>
        <w:jc w:val="both"/>
        <w:textAlignment w:val="top"/>
        <w:rPr>
          <w:rFonts w:ascii="Arial" w:eastAsiaTheme="minorEastAsia" w:hAnsi="Arial" w:cs="Arial"/>
          <w:b/>
          <w:bCs/>
          <w:caps/>
          <w:sz w:val="26"/>
          <w:szCs w:val="26"/>
          <w:lang w:val="tr-TR"/>
        </w:rPr>
      </w:pPr>
    </w:p>
    <w:sectPr w:rsidR="00DB6605" w:rsidRPr="00FC0A17" w:rsidSect="00DB6605">
      <w:headerReference w:type="default" r:id="rId12"/>
      <w:pgSz w:w="11920" w:h="16840"/>
      <w:pgMar w:top="1843" w:right="1147" w:bottom="1134" w:left="156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D8C" w:rsidRDefault="00525D8C">
      <w:pPr>
        <w:spacing w:after="0" w:line="240" w:lineRule="auto"/>
      </w:pPr>
      <w:r>
        <w:separator/>
      </w:r>
    </w:p>
  </w:endnote>
  <w:endnote w:type="continuationSeparator" w:id="0">
    <w:p w:rsidR="00525D8C" w:rsidRDefault="0052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D8C" w:rsidRDefault="00525D8C">
      <w:pPr>
        <w:spacing w:after="0" w:line="240" w:lineRule="auto"/>
      </w:pPr>
      <w:r>
        <w:separator/>
      </w:r>
    </w:p>
  </w:footnote>
  <w:footnote w:type="continuationSeparator" w:id="0">
    <w:p w:rsidR="00525D8C" w:rsidRDefault="00525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3D" w:rsidRDefault="00E2403D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w:drawing>
        <wp:anchor distT="0" distB="0" distL="114300" distR="114300" simplePos="0" relativeHeight="251657216" behindDoc="1" locked="0" layoutInCell="1" allowOverlap="1" wp14:anchorId="27FE2100" wp14:editId="27FE2101">
          <wp:simplePos x="0" y="0"/>
          <wp:positionH relativeFrom="page">
            <wp:posOffset>6263640</wp:posOffset>
          </wp:positionH>
          <wp:positionV relativeFrom="page">
            <wp:posOffset>359410</wp:posOffset>
          </wp:positionV>
          <wp:extent cx="935990" cy="259080"/>
          <wp:effectExtent l="0" t="0" r="3810" b="0"/>
          <wp:wrapNone/>
          <wp:docPr id="51" name="Imag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27FE2102" wp14:editId="27FE2103">
          <wp:simplePos x="0" y="0"/>
          <wp:positionH relativeFrom="page">
            <wp:posOffset>359410</wp:posOffset>
          </wp:positionH>
          <wp:positionV relativeFrom="page">
            <wp:posOffset>359410</wp:posOffset>
          </wp:positionV>
          <wp:extent cx="1634490" cy="171450"/>
          <wp:effectExtent l="0" t="0" r="0" b="6350"/>
          <wp:wrapNone/>
          <wp:docPr id="52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B22"/>
    <w:multiLevelType w:val="hybridMultilevel"/>
    <w:tmpl w:val="80C2F1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F0F6E"/>
    <w:multiLevelType w:val="hybridMultilevel"/>
    <w:tmpl w:val="49E6753A"/>
    <w:lvl w:ilvl="0" w:tplc="0409000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abstractNum w:abstractNumId="2" w15:restartNumberingAfterBreak="0">
    <w:nsid w:val="08B25708"/>
    <w:multiLevelType w:val="hybridMultilevel"/>
    <w:tmpl w:val="2056C9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F6539"/>
    <w:multiLevelType w:val="multilevel"/>
    <w:tmpl w:val="0170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color="FFFFFF" w:themeColor="background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92013E"/>
    <w:multiLevelType w:val="multilevel"/>
    <w:tmpl w:val="A096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061C3C"/>
    <w:multiLevelType w:val="multilevel"/>
    <w:tmpl w:val="C262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F82CBE"/>
    <w:multiLevelType w:val="hybridMultilevel"/>
    <w:tmpl w:val="56322A76"/>
    <w:lvl w:ilvl="0" w:tplc="EF4CFEBA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D36414"/>
    <w:multiLevelType w:val="multilevel"/>
    <w:tmpl w:val="24BC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FF5BC0"/>
    <w:multiLevelType w:val="multilevel"/>
    <w:tmpl w:val="5C2A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CD1423"/>
    <w:multiLevelType w:val="multilevel"/>
    <w:tmpl w:val="7610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23393D"/>
    <w:multiLevelType w:val="hybridMultilevel"/>
    <w:tmpl w:val="340294EE"/>
    <w:lvl w:ilvl="0" w:tplc="5A141D8C">
      <w:start w:val="1"/>
      <w:numFmt w:val="bullet"/>
      <w:lvlText w:val="-"/>
      <w:lvlJc w:val="left"/>
      <w:pPr>
        <w:ind w:left="21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6346418F"/>
    <w:multiLevelType w:val="hybridMultilevel"/>
    <w:tmpl w:val="95C41B7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C4E2100"/>
    <w:multiLevelType w:val="hybridMultilevel"/>
    <w:tmpl w:val="514AFB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240F8D"/>
    <w:multiLevelType w:val="multilevel"/>
    <w:tmpl w:val="B41C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13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BA"/>
    <w:rsid w:val="00003817"/>
    <w:rsid w:val="00006047"/>
    <w:rsid w:val="00016A9C"/>
    <w:rsid w:val="00017904"/>
    <w:rsid w:val="00022F34"/>
    <w:rsid w:val="0002409E"/>
    <w:rsid w:val="00025842"/>
    <w:rsid w:val="00027148"/>
    <w:rsid w:val="000300DD"/>
    <w:rsid w:val="00030B11"/>
    <w:rsid w:val="0003665F"/>
    <w:rsid w:val="0006183E"/>
    <w:rsid w:val="0006617C"/>
    <w:rsid w:val="00073209"/>
    <w:rsid w:val="00076650"/>
    <w:rsid w:val="000859B8"/>
    <w:rsid w:val="00085FA6"/>
    <w:rsid w:val="0008688D"/>
    <w:rsid w:val="00090225"/>
    <w:rsid w:val="00093353"/>
    <w:rsid w:val="000A0DFD"/>
    <w:rsid w:val="000A7AAE"/>
    <w:rsid w:val="000A7F46"/>
    <w:rsid w:val="000B12B0"/>
    <w:rsid w:val="000B6786"/>
    <w:rsid w:val="000C11BC"/>
    <w:rsid w:val="000C3500"/>
    <w:rsid w:val="000D2BB3"/>
    <w:rsid w:val="000D7FAA"/>
    <w:rsid w:val="000E49FD"/>
    <w:rsid w:val="000E6761"/>
    <w:rsid w:val="000F54E2"/>
    <w:rsid w:val="000F6230"/>
    <w:rsid w:val="001064F6"/>
    <w:rsid w:val="00114270"/>
    <w:rsid w:val="001176F0"/>
    <w:rsid w:val="0012013B"/>
    <w:rsid w:val="001205CA"/>
    <w:rsid w:val="00124AD2"/>
    <w:rsid w:val="0015112E"/>
    <w:rsid w:val="001608B4"/>
    <w:rsid w:val="00161387"/>
    <w:rsid w:val="00170932"/>
    <w:rsid w:val="00174114"/>
    <w:rsid w:val="00174AAD"/>
    <w:rsid w:val="0018559F"/>
    <w:rsid w:val="00197CDC"/>
    <w:rsid w:val="001A244B"/>
    <w:rsid w:val="001A24E5"/>
    <w:rsid w:val="001A4660"/>
    <w:rsid w:val="001A7332"/>
    <w:rsid w:val="001B1708"/>
    <w:rsid w:val="001B5742"/>
    <w:rsid w:val="001C2111"/>
    <w:rsid w:val="001C321F"/>
    <w:rsid w:val="001C6B41"/>
    <w:rsid w:val="001E101C"/>
    <w:rsid w:val="001E2775"/>
    <w:rsid w:val="001E2BAA"/>
    <w:rsid w:val="002019A8"/>
    <w:rsid w:val="002147ED"/>
    <w:rsid w:val="0022038B"/>
    <w:rsid w:val="00226B28"/>
    <w:rsid w:val="002304AD"/>
    <w:rsid w:val="00233D97"/>
    <w:rsid w:val="00260FB2"/>
    <w:rsid w:val="0026317A"/>
    <w:rsid w:val="00275762"/>
    <w:rsid w:val="002769AB"/>
    <w:rsid w:val="0028674D"/>
    <w:rsid w:val="00294A42"/>
    <w:rsid w:val="00295156"/>
    <w:rsid w:val="00296DBA"/>
    <w:rsid w:val="00296FFD"/>
    <w:rsid w:val="002A4DA4"/>
    <w:rsid w:val="002A6CBF"/>
    <w:rsid w:val="002B27C0"/>
    <w:rsid w:val="002B4DA8"/>
    <w:rsid w:val="002B500A"/>
    <w:rsid w:val="002B7E91"/>
    <w:rsid w:val="002C07E7"/>
    <w:rsid w:val="002D2478"/>
    <w:rsid w:val="002D3973"/>
    <w:rsid w:val="002D7484"/>
    <w:rsid w:val="002E5811"/>
    <w:rsid w:val="002F33C3"/>
    <w:rsid w:val="002F7C11"/>
    <w:rsid w:val="003030C0"/>
    <w:rsid w:val="00305FD1"/>
    <w:rsid w:val="0031412C"/>
    <w:rsid w:val="00316E04"/>
    <w:rsid w:val="00327DCE"/>
    <w:rsid w:val="00330C74"/>
    <w:rsid w:val="003376AC"/>
    <w:rsid w:val="00342944"/>
    <w:rsid w:val="003456CF"/>
    <w:rsid w:val="00347F6F"/>
    <w:rsid w:val="0035129B"/>
    <w:rsid w:val="00353986"/>
    <w:rsid w:val="00356D40"/>
    <w:rsid w:val="00362962"/>
    <w:rsid w:val="00362F16"/>
    <w:rsid w:val="00365F52"/>
    <w:rsid w:val="0036790D"/>
    <w:rsid w:val="00383D45"/>
    <w:rsid w:val="00384B7E"/>
    <w:rsid w:val="00385553"/>
    <w:rsid w:val="00393A01"/>
    <w:rsid w:val="00395A69"/>
    <w:rsid w:val="003A0375"/>
    <w:rsid w:val="003C107B"/>
    <w:rsid w:val="003C175D"/>
    <w:rsid w:val="003D09F9"/>
    <w:rsid w:val="003D1DB5"/>
    <w:rsid w:val="003D3908"/>
    <w:rsid w:val="003D4FB1"/>
    <w:rsid w:val="003E4086"/>
    <w:rsid w:val="003E4E48"/>
    <w:rsid w:val="003E5D4A"/>
    <w:rsid w:val="003F08F7"/>
    <w:rsid w:val="003F36F5"/>
    <w:rsid w:val="00415A34"/>
    <w:rsid w:val="004218AA"/>
    <w:rsid w:val="00422C90"/>
    <w:rsid w:val="00425577"/>
    <w:rsid w:val="00430A8C"/>
    <w:rsid w:val="0043266D"/>
    <w:rsid w:val="00442028"/>
    <w:rsid w:val="004450C0"/>
    <w:rsid w:val="00461C2B"/>
    <w:rsid w:val="00462CB8"/>
    <w:rsid w:val="004636E6"/>
    <w:rsid w:val="00464147"/>
    <w:rsid w:val="00464C17"/>
    <w:rsid w:val="0047471B"/>
    <w:rsid w:val="00476FE1"/>
    <w:rsid w:val="0048684A"/>
    <w:rsid w:val="00492F45"/>
    <w:rsid w:val="004A40C2"/>
    <w:rsid w:val="004A4FFB"/>
    <w:rsid w:val="004B1190"/>
    <w:rsid w:val="004C3D59"/>
    <w:rsid w:val="004C7B13"/>
    <w:rsid w:val="004D3F1D"/>
    <w:rsid w:val="004D5B39"/>
    <w:rsid w:val="004D61FE"/>
    <w:rsid w:val="004E3791"/>
    <w:rsid w:val="004E4857"/>
    <w:rsid w:val="004E7312"/>
    <w:rsid w:val="004E7AB3"/>
    <w:rsid w:val="004F3941"/>
    <w:rsid w:val="005005FE"/>
    <w:rsid w:val="00502913"/>
    <w:rsid w:val="00506EBE"/>
    <w:rsid w:val="00524037"/>
    <w:rsid w:val="00525D8C"/>
    <w:rsid w:val="00541237"/>
    <w:rsid w:val="005417DC"/>
    <w:rsid w:val="00543146"/>
    <w:rsid w:val="005437EF"/>
    <w:rsid w:val="00545801"/>
    <w:rsid w:val="00557E5B"/>
    <w:rsid w:val="00565383"/>
    <w:rsid w:val="00574241"/>
    <w:rsid w:val="00586C4B"/>
    <w:rsid w:val="005906F9"/>
    <w:rsid w:val="00590A42"/>
    <w:rsid w:val="00592E4E"/>
    <w:rsid w:val="005A0D78"/>
    <w:rsid w:val="005A1740"/>
    <w:rsid w:val="005A1D12"/>
    <w:rsid w:val="005C1D29"/>
    <w:rsid w:val="005C2D67"/>
    <w:rsid w:val="005E07E4"/>
    <w:rsid w:val="005E0E0D"/>
    <w:rsid w:val="005E7D1D"/>
    <w:rsid w:val="00600B71"/>
    <w:rsid w:val="00604FA0"/>
    <w:rsid w:val="006063B5"/>
    <w:rsid w:val="00607FA8"/>
    <w:rsid w:val="00616877"/>
    <w:rsid w:val="00636DF4"/>
    <w:rsid w:val="00637270"/>
    <w:rsid w:val="00654A55"/>
    <w:rsid w:val="0066183E"/>
    <w:rsid w:val="00662216"/>
    <w:rsid w:val="00666EA6"/>
    <w:rsid w:val="00672825"/>
    <w:rsid w:val="00675417"/>
    <w:rsid w:val="00686829"/>
    <w:rsid w:val="0069275E"/>
    <w:rsid w:val="00697719"/>
    <w:rsid w:val="006A0014"/>
    <w:rsid w:val="006A33CE"/>
    <w:rsid w:val="006A4EDC"/>
    <w:rsid w:val="006B1FE1"/>
    <w:rsid w:val="006C0091"/>
    <w:rsid w:val="006C2A75"/>
    <w:rsid w:val="006D79D2"/>
    <w:rsid w:val="006D7EB9"/>
    <w:rsid w:val="006F2CA9"/>
    <w:rsid w:val="006F4534"/>
    <w:rsid w:val="006F5137"/>
    <w:rsid w:val="006F7C13"/>
    <w:rsid w:val="0070606F"/>
    <w:rsid w:val="007111D2"/>
    <w:rsid w:val="007118D2"/>
    <w:rsid w:val="00712BB2"/>
    <w:rsid w:val="00722F37"/>
    <w:rsid w:val="007470E5"/>
    <w:rsid w:val="00752EDA"/>
    <w:rsid w:val="00757790"/>
    <w:rsid w:val="00771C1D"/>
    <w:rsid w:val="00776151"/>
    <w:rsid w:val="00780DCB"/>
    <w:rsid w:val="00781CCA"/>
    <w:rsid w:val="00790F8C"/>
    <w:rsid w:val="0079691A"/>
    <w:rsid w:val="007A0688"/>
    <w:rsid w:val="007A4A47"/>
    <w:rsid w:val="007B72EE"/>
    <w:rsid w:val="007C155D"/>
    <w:rsid w:val="007D1948"/>
    <w:rsid w:val="007D4869"/>
    <w:rsid w:val="007D4BA0"/>
    <w:rsid w:val="007E4866"/>
    <w:rsid w:val="007F3B13"/>
    <w:rsid w:val="007F5F43"/>
    <w:rsid w:val="007F7BE9"/>
    <w:rsid w:val="00801AB2"/>
    <w:rsid w:val="0080377F"/>
    <w:rsid w:val="00804B67"/>
    <w:rsid w:val="008075D9"/>
    <w:rsid w:val="008159F6"/>
    <w:rsid w:val="008174F1"/>
    <w:rsid w:val="00820D05"/>
    <w:rsid w:val="008307F8"/>
    <w:rsid w:val="00831A69"/>
    <w:rsid w:val="00843032"/>
    <w:rsid w:val="008436C0"/>
    <w:rsid w:val="00845FF7"/>
    <w:rsid w:val="00850AD2"/>
    <w:rsid w:val="008516C8"/>
    <w:rsid w:val="00851B22"/>
    <w:rsid w:val="00853B0F"/>
    <w:rsid w:val="00864A2E"/>
    <w:rsid w:val="00866319"/>
    <w:rsid w:val="008814AB"/>
    <w:rsid w:val="00883EC4"/>
    <w:rsid w:val="00891363"/>
    <w:rsid w:val="0089158C"/>
    <w:rsid w:val="00894A14"/>
    <w:rsid w:val="008A5D2E"/>
    <w:rsid w:val="008B01D6"/>
    <w:rsid w:val="008B276E"/>
    <w:rsid w:val="008C2C6A"/>
    <w:rsid w:val="008C7E8B"/>
    <w:rsid w:val="008D5C51"/>
    <w:rsid w:val="008E50F1"/>
    <w:rsid w:val="008F01E1"/>
    <w:rsid w:val="008F246F"/>
    <w:rsid w:val="008F345B"/>
    <w:rsid w:val="008F3483"/>
    <w:rsid w:val="008F52CD"/>
    <w:rsid w:val="008F6440"/>
    <w:rsid w:val="0090043C"/>
    <w:rsid w:val="00905BC8"/>
    <w:rsid w:val="00911AAB"/>
    <w:rsid w:val="00914589"/>
    <w:rsid w:val="00922840"/>
    <w:rsid w:val="00922A22"/>
    <w:rsid w:val="00923B9C"/>
    <w:rsid w:val="00932855"/>
    <w:rsid w:val="00932AC4"/>
    <w:rsid w:val="00932DFF"/>
    <w:rsid w:val="00935346"/>
    <w:rsid w:val="009405ED"/>
    <w:rsid w:val="00941246"/>
    <w:rsid w:val="00945013"/>
    <w:rsid w:val="009520F1"/>
    <w:rsid w:val="0095544F"/>
    <w:rsid w:val="00960D78"/>
    <w:rsid w:val="009618BF"/>
    <w:rsid w:val="00975828"/>
    <w:rsid w:val="00990792"/>
    <w:rsid w:val="0099175E"/>
    <w:rsid w:val="00994104"/>
    <w:rsid w:val="009C2ACC"/>
    <w:rsid w:val="009C5112"/>
    <w:rsid w:val="009D2C2B"/>
    <w:rsid w:val="009D6904"/>
    <w:rsid w:val="009E2840"/>
    <w:rsid w:val="00A00DD5"/>
    <w:rsid w:val="00A10C8E"/>
    <w:rsid w:val="00A275C2"/>
    <w:rsid w:val="00A36B70"/>
    <w:rsid w:val="00A563C4"/>
    <w:rsid w:val="00A614E7"/>
    <w:rsid w:val="00A63EB5"/>
    <w:rsid w:val="00A712AA"/>
    <w:rsid w:val="00A77166"/>
    <w:rsid w:val="00A81CE2"/>
    <w:rsid w:val="00A84A5C"/>
    <w:rsid w:val="00A92650"/>
    <w:rsid w:val="00A92E09"/>
    <w:rsid w:val="00A94BF7"/>
    <w:rsid w:val="00A969EE"/>
    <w:rsid w:val="00AB7614"/>
    <w:rsid w:val="00AC1887"/>
    <w:rsid w:val="00AC1D37"/>
    <w:rsid w:val="00AC25DF"/>
    <w:rsid w:val="00AD2711"/>
    <w:rsid w:val="00AD2CDA"/>
    <w:rsid w:val="00AE79B9"/>
    <w:rsid w:val="00AF0B5C"/>
    <w:rsid w:val="00AF2439"/>
    <w:rsid w:val="00B0016E"/>
    <w:rsid w:val="00B004B3"/>
    <w:rsid w:val="00B02EC6"/>
    <w:rsid w:val="00B05021"/>
    <w:rsid w:val="00B178EA"/>
    <w:rsid w:val="00B3171D"/>
    <w:rsid w:val="00B36290"/>
    <w:rsid w:val="00B4165A"/>
    <w:rsid w:val="00B55423"/>
    <w:rsid w:val="00B608DD"/>
    <w:rsid w:val="00B7019B"/>
    <w:rsid w:val="00B83B34"/>
    <w:rsid w:val="00B917D4"/>
    <w:rsid w:val="00B95079"/>
    <w:rsid w:val="00B95C8E"/>
    <w:rsid w:val="00BA1AA5"/>
    <w:rsid w:val="00BB2E17"/>
    <w:rsid w:val="00BB3327"/>
    <w:rsid w:val="00BB5E11"/>
    <w:rsid w:val="00BC0098"/>
    <w:rsid w:val="00BC10C2"/>
    <w:rsid w:val="00BC1566"/>
    <w:rsid w:val="00BC7A17"/>
    <w:rsid w:val="00BD04C8"/>
    <w:rsid w:val="00BD1745"/>
    <w:rsid w:val="00BD2614"/>
    <w:rsid w:val="00BD79A7"/>
    <w:rsid w:val="00BF07F5"/>
    <w:rsid w:val="00BF1B9D"/>
    <w:rsid w:val="00BF4DA9"/>
    <w:rsid w:val="00BF7376"/>
    <w:rsid w:val="00C01143"/>
    <w:rsid w:val="00C01CD3"/>
    <w:rsid w:val="00C023C2"/>
    <w:rsid w:val="00C0784C"/>
    <w:rsid w:val="00C20F19"/>
    <w:rsid w:val="00C4593C"/>
    <w:rsid w:val="00C4795E"/>
    <w:rsid w:val="00C51D29"/>
    <w:rsid w:val="00C52CF7"/>
    <w:rsid w:val="00C65B37"/>
    <w:rsid w:val="00C67528"/>
    <w:rsid w:val="00C704F0"/>
    <w:rsid w:val="00C70D76"/>
    <w:rsid w:val="00C75133"/>
    <w:rsid w:val="00C75FA2"/>
    <w:rsid w:val="00C81F12"/>
    <w:rsid w:val="00C948A7"/>
    <w:rsid w:val="00C957A6"/>
    <w:rsid w:val="00CA448A"/>
    <w:rsid w:val="00CA6C27"/>
    <w:rsid w:val="00CC5AD1"/>
    <w:rsid w:val="00CD5786"/>
    <w:rsid w:val="00CD62C2"/>
    <w:rsid w:val="00CE32B2"/>
    <w:rsid w:val="00CE4977"/>
    <w:rsid w:val="00CE5B86"/>
    <w:rsid w:val="00D03857"/>
    <w:rsid w:val="00D10DC5"/>
    <w:rsid w:val="00D1575B"/>
    <w:rsid w:val="00D2691D"/>
    <w:rsid w:val="00D32EAD"/>
    <w:rsid w:val="00D3394B"/>
    <w:rsid w:val="00D46314"/>
    <w:rsid w:val="00D51702"/>
    <w:rsid w:val="00D51A5A"/>
    <w:rsid w:val="00D5633D"/>
    <w:rsid w:val="00D57B55"/>
    <w:rsid w:val="00D63CA4"/>
    <w:rsid w:val="00D677EA"/>
    <w:rsid w:val="00D67DBF"/>
    <w:rsid w:val="00D801C8"/>
    <w:rsid w:val="00D86D95"/>
    <w:rsid w:val="00DB1EDF"/>
    <w:rsid w:val="00DB51AB"/>
    <w:rsid w:val="00DB6605"/>
    <w:rsid w:val="00DC0085"/>
    <w:rsid w:val="00DC5098"/>
    <w:rsid w:val="00DD4F95"/>
    <w:rsid w:val="00DF101A"/>
    <w:rsid w:val="00DF1EA3"/>
    <w:rsid w:val="00DF1F68"/>
    <w:rsid w:val="00DF760B"/>
    <w:rsid w:val="00DF7A0E"/>
    <w:rsid w:val="00E00F10"/>
    <w:rsid w:val="00E05864"/>
    <w:rsid w:val="00E06F81"/>
    <w:rsid w:val="00E12A6B"/>
    <w:rsid w:val="00E14389"/>
    <w:rsid w:val="00E216BF"/>
    <w:rsid w:val="00E21C9E"/>
    <w:rsid w:val="00E2403D"/>
    <w:rsid w:val="00E269D4"/>
    <w:rsid w:val="00E36389"/>
    <w:rsid w:val="00E3738F"/>
    <w:rsid w:val="00E410E4"/>
    <w:rsid w:val="00E439A7"/>
    <w:rsid w:val="00E54937"/>
    <w:rsid w:val="00E569B6"/>
    <w:rsid w:val="00E61597"/>
    <w:rsid w:val="00E81319"/>
    <w:rsid w:val="00E86420"/>
    <w:rsid w:val="00E90108"/>
    <w:rsid w:val="00E913F5"/>
    <w:rsid w:val="00EA062E"/>
    <w:rsid w:val="00EA14F8"/>
    <w:rsid w:val="00EA448D"/>
    <w:rsid w:val="00EA4C31"/>
    <w:rsid w:val="00EB04AC"/>
    <w:rsid w:val="00EB22CE"/>
    <w:rsid w:val="00EB2CD8"/>
    <w:rsid w:val="00EB35AF"/>
    <w:rsid w:val="00EB755B"/>
    <w:rsid w:val="00EC2791"/>
    <w:rsid w:val="00EC3BC2"/>
    <w:rsid w:val="00EC5B9F"/>
    <w:rsid w:val="00EC5C85"/>
    <w:rsid w:val="00EE03EB"/>
    <w:rsid w:val="00EE60E0"/>
    <w:rsid w:val="00EF78C9"/>
    <w:rsid w:val="00F017C0"/>
    <w:rsid w:val="00F07287"/>
    <w:rsid w:val="00F07B78"/>
    <w:rsid w:val="00F17C26"/>
    <w:rsid w:val="00F21C96"/>
    <w:rsid w:val="00F23884"/>
    <w:rsid w:val="00F348F6"/>
    <w:rsid w:val="00F4107C"/>
    <w:rsid w:val="00F61685"/>
    <w:rsid w:val="00F73DA5"/>
    <w:rsid w:val="00F81381"/>
    <w:rsid w:val="00F84F17"/>
    <w:rsid w:val="00F92F79"/>
    <w:rsid w:val="00F93E62"/>
    <w:rsid w:val="00F94E43"/>
    <w:rsid w:val="00FA4C9F"/>
    <w:rsid w:val="00FB48A0"/>
    <w:rsid w:val="00FB4981"/>
    <w:rsid w:val="00FB5809"/>
    <w:rsid w:val="00FC0A17"/>
    <w:rsid w:val="00FC2E3B"/>
    <w:rsid w:val="00FD108E"/>
    <w:rsid w:val="00FD1776"/>
    <w:rsid w:val="00FD3AC7"/>
    <w:rsid w:val="00FD488C"/>
    <w:rsid w:val="00FE04BB"/>
    <w:rsid w:val="00FF352C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958521"/>
  <w15:docId w15:val="{D8F526FA-90EA-42DD-A9A2-16CC091D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A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016E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16E"/>
    <w:rPr>
      <w:b/>
      <w:bCs/>
    </w:rPr>
  </w:style>
  <w:style w:type="paragraph" w:customStyle="1" w:styleId="Sous-titre2">
    <w:name w:val="Sous-titre2"/>
    <w:basedOn w:val="Normal"/>
    <w:rsid w:val="00B0016E"/>
    <w:pPr>
      <w:widowControl/>
      <w:spacing w:before="225" w:after="225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table" w:styleId="LightShading-Accent1">
    <w:name w:val="Light Shading Accent 1"/>
    <w:basedOn w:val="TableNormal"/>
    <w:uiPriority w:val="60"/>
    <w:rsid w:val="00B0016E"/>
    <w:pPr>
      <w:widowControl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47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6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1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1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17C"/>
    <w:rPr>
      <w:b/>
      <w:bCs/>
      <w:sz w:val="20"/>
      <w:szCs w:val="20"/>
    </w:rPr>
  </w:style>
  <w:style w:type="paragraph" w:customStyle="1" w:styleId="Sous-titre1">
    <w:name w:val="Sous-titre1"/>
    <w:basedOn w:val="Normal"/>
    <w:uiPriority w:val="99"/>
    <w:rsid w:val="00574241"/>
    <w:pPr>
      <w:widowControl/>
      <w:spacing w:before="225" w:after="225" w:line="240" w:lineRule="auto"/>
    </w:pPr>
    <w:rPr>
      <w:rFonts w:ascii="Times New Roman" w:eastAsiaTheme="minorEastAsia" w:hAnsi="Times New Roman" w:cs="Times New Roman"/>
      <w:b/>
      <w:bCs/>
      <w:cap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F08F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81319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180">
          <w:marLeft w:val="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3520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Content Type Event Receiver</Name>
    <Synchronization>Asynchronous</Synchronization>
    <Type>10503</Type>
    <SequenceNumber>1000</SequenceNumber>
    <Assembly>RNAlliance.SharePoint.ACP.Layers, Version=1.0.0.0, Culture=neutral, PublicKeyToken=e2530ddecd8f1478</Assembly>
    <Class>RNAlliance.SharePoint.ACP.Layers.Service.BaseCopyEventReceivers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nault Document" ma:contentTypeID="0x01010066E3D1BD537B466A9FB4715B858074E900899E04623FB743D2ABDA955F9C2B667700BDE1E557D99C934AAF21072E049BB130" ma:contentTypeVersion="18" ma:contentTypeDescription="Create a new Renault document." ma:contentTypeScope="" ma:versionID="5fc65ebd21726547d036e6392a9ac1cd">
  <xsd:schema xmlns:xsd="http://www.w3.org/2001/XMLSchema" xmlns:xs="http://www.w3.org/2001/XMLSchema" xmlns:p="http://schemas.microsoft.com/office/2006/metadata/properties" xmlns:ns1="http://schemas.microsoft.com/sharepoint/v3" xmlns:ns2="64bebfd7-c037-4759-9b38-e825e441c157" targetNamespace="http://schemas.microsoft.com/office/2006/metadata/properties" ma:root="true" ma:fieldsID="b9f5fc333520296c52e2aa7ad431bd6f" ns1:_="" ns2:_="">
    <xsd:import namespace="http://schemas.microsoft.com/sharepoint/v3"/>
    <xsd:import namespace="64bebfd7-c037-4759-9b38-e825e441c157"/>
    <xsd:element name="properties">
      <xsd:complexType>
        <xsd:sequence>
          <xsd:element name="documentManagement">
            <xsd:complexType>
              <xsd:all>
                <xsd:element ref="ns1:ACP_OwnerOrganization_TaxHT0" minOccurs="0"/>
                <xsd:element ref="ns1:ACP_Renault_SecurityClassification_TaxHT0" minOccurs="0"/>
                <xsd:element ref="ns1:ACP_Renault_RelevantRegion_TaxHT0" minOccurs="0"/>
                <xsd:element ref="ns1:ACP_Renault_DocumentType_TaxHT0" minOccurs="0"/>
                <xsd:element ref="ns1:ACP_Renault_ExpirationDat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CP_OwnerOrganization_TaxHT0" ma:index="9" nillable="true" ma:taxonomy="true" ma:internalName="ACP_OwnerOrganization_TaxHT0" ma:taxonomyFieldName="ACP_OwnerOrganization" ma:displayName="Owner Organization" ma:readOnly="false" ma:fieldId="{b2f944ca-d7b4-479f-83be-7a711dbb0010}" ma:sspId="13a7ba8c-7457-4356-a6e9-e6f891afc8fd" ma:termSetId="71a8f656-dccb-4916-8370-91b3a5cc5b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P_Renault_SecurityClassification_TaxHT0" ma:index="11" nillable="true" ma:taxonomy="true" ma:internalName="ACP_Renault_SecurityClassification_TaxHT0" ma:taxonomyFieldName="ACP_Renault_SecurityClassification" ma:displayName="Security Classification" ma:readOnly="false" ma:fieldId="{1fe3dde9-5599-430d-9249-906cb7133fa1}" ma:sspId="13a7ba8c-7457-4356-a6e9-e6f891afc8fd" ma:termSetId="2e709ad7-3269-4298-a893-fa3c9641f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P_Renault_RelevantRegion_TaxHT0" ma:index="13" nillable="true" ma:taxonomy="true" ma:internalName="ACP_Renault_RelevantRegion_TaxHT0" ma:taxonomyFieldName="ACP_Renault_RelevantRegion" ma:displayName="Relevant Region" ma:readOnly="false" ma:fieldId="{d64cf655-2379-4890-ab5b-d3321d30528e}" ma:sspId="13a7ba8c-7457-4356-a6e9-e6f891afc8fd" ma:termSetId="4b81f2c5-3f4e-40a0-bf90-01b0cb8bee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P_Renault_DocumentType_TaxHT0" ma:index="15" nillable="true" ma:taxonomy="true" ma:internalName="ACP_Renault_DocumentType_TaxHT0" ma:taxonomyFieldName="ACP_Renault_DocumentType" ma:displayName="Document Type" ma:readOnly="false" ma:fieldId="{05c1c4e8-8423-4693-876e-411f294059ad}" ma:sspId="13a7ba8c-7457-4356-a6e9-e6f891afc8fd" ma:termSetId="2d5155ef-5bfc-46c0-bd2b-77b51f4890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P_Renault_ExpirationDate" ma:index="16" nillable="true" ma:displayName="Expiration Date" ma:description="Indicates the document Expiration Date." ma:format="DateOnly" ma:hidden="true" ma:internalName="ACP_Renault_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ebfd7-c037-4759-9b38-e825e441c15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description="" ma:hidden="true" ma:list="{bffc78b5-cd8d-45a7-b563-40693bcb85b7}" ma:internalName="TaxCatchAll" ma:showField="CatchAllData" ma:web="64bebfd7-c037-4759-9b38-e825e441c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P_Renault_ExpirationDate xmlns="http://schemas.microsoft.com/sharepoint/v3" xsi:nil="true"/>
    <ACP_Renault_RelevantRegion_TaxHT0 xmlns="http://schemas.microsoft.com/sharepoint/v3">
      <Terms xmlns="http://schemas.microsoft.com/office/infopath/2007/PartnerControls"/>
    </ACP_Renault_RelevantRegion_TaxHT0>
    <ACP_Renault_DocumentType_TaxHT0 xmlns="http://schemas.microsoft.com/sharepoint/v3">
      <Terms xmlns="http://schemas.microsoft.com/office/infopath/2007/PartnerControls"/>
    </ACP_Renault_DocumentType_TaxHT0>
    <TaxCatchAll xmlns="64bebfd7-c037-4759-9b38-e825e441c157"/>
    <ACP_OwnerOrganization_TaxHT0 xmlns="http://schemas.microsoft.com/sharepoint/v3">
      <Terms xmlns="http://schemas.microsoft.com/office/infopath/2007/PartnerControls"/>
    </ACP_OwnerOrganization_TaxHT0>
    <ACP_Renault_SecurityClassification_TaxHT0 xmlns="http://schemas.microsoft.com/sharepoint/v3">
      <Terms xmlns="http://schemas.microsoft.com/office/infopath/2007/PartnerControls"/>
    </ACP_Renault_SecurityClassification_TaxHT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D43DA-5654-44C0-9F70-4A99E8FC9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A9CDB4-88DA-41B3-BA53-D5A86133EC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607E552-EF4D-4216-8645-AE8C46139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bebfd7-c037-4759-9b38-e825e441c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3C1926-0DC1-490C-83D5-731B7EF8B1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4bebfd7-c037-4759-9b38-e825e441c157"/>
  </ds:schemaRefs>
</ds:datastoreItem>
</file>

<file path=customXml/itemProps5.xml><?xml version="1.0" encoding="utf-8"?>
<ds:datastoreItem xmlns:ds="http://schemas.openxmlformats.org/officeDocument/2006/customXml" ds:itemID="{A5986E5E-DEC1-4CFB-B5F5-A81120BF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Document type Communiqué de Presse Groupe</vt:lpstr>
      <vt:lpstr>Document type Communiqué de Presse Groupe</vt:lpstr>
      <vt:lpstr>Document type Communiqué de Presse Groupe</vt:lpstr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type Communiqué de Presse Groupe</dc:title>
  <dc:subject/>
  <dc:creator>MAZIER Helene</dc:creator>
  <cp:keywords/>
  <dc:description/>
  <cp:lastModifiedBy>Fulya ÖZKAN</cp:lastModifiedBy>
  <cp:revision>3</cp:revision>
  <cp:lastPrinted>2016-04-25T13:10:00Z</cp:lastPrinted>
  <dcterms:created xsi:type="dcterms:W3CDTF">2016-04-25T13:10:00Z</dcterms:created>
  <dcterms:modified xsi:type="dcterms:W3CDTF">2016-04-26T08:09:00Z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2015-04-29T00:00:00Z</vt:filetime>
  </property>
  <property fmtid="{D5CDD505-2E9C-101B-9397-08002B2CF9AE}" pid="3" name="LastSaved">
    <vt:filetime>2015-04-29T00:00:00Z</vt:filetime>
  </property>
  <property fmtid="{D5CDD505-2E9C-101B-9397-08002B2CF9AE}" pid="4" name="ContentTypeId">
    <vt:lpwstr>0x01010066E3D1BD537B466A9FB4715B858074E900899E04623FB743D2ABDA955F9C2B667700BDE1E557D99C934AAF21072E049BB130</vt:lpwstr>
  </property>
  <property fmtid="{D5CDD505-2E9C-101B-9397-08002B2CF9AE}" pid="5" name="_NewReviewCycle">
    <vt:lpwstr/>
  </property>
</Properties>
</file>