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before="12" w:after="0" w:line="200" w:lineRule="exact"/>
        <w:rPr>
          <w:sz w:val="20"/>
          <w:szCs w:val="20"/>
          <w:lang w:val="en-GB"/>
        </w:rPr>
      </w:pPr>
    </w:p>
    <w:p w:rsidR="00296DBA" w:rsidRPr="00041FB8" w:rsidRDefault="00155E58" w:rsidP="0023497A">
      <w:pPr>
        <w:tabs>
          <w:tab w:val="left" w:pos="8505"/>
        </w:tabs>
        <w:spacing w:before="29" w:after="0" w:line="240" w:lineRule="auto"/>
        <w:ind w:left="1329" w:right="51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t>BASIN BÜLTENİ</w:t>
      </w:r>
      <w:r w:rsidR="0023497A" w:rsidRPr="00041FB8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="004E7AB3" w:rsidRPr="00041FB8">
        <w:rPr>
          <w:rFonts w:ascii="Arial" w:eastAsia="Arial" w:hAnsi="Arial" w:cs="Arial"/>
          <w:position w:val="3"/>
          <w:sz w:val="20"/>
          <w:szCs w:val="20"/>
          <w:lang w:val="en-GB"/>
        </w:rPr>
        <w:t>18/01/2016</w:t>
      </w: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96DBA">
      <w:pPr>
        <w:spacing w:after="0" w:line="200" w:lineRule="exact"/>
        <w:rPr>
          <w:sz w:val="20"/>
          <w:szCs w:val="20"/>
          <w:lang w:val="en-GB"/>
        </w:rPr>
      </w:pPr>
    </w:p>
    <w:p w:rsidR="00296DBA" w:rsidRPr="00041FB8" w:rsidRDefault="002B54AF">
      <w:pPr>
        <w:spacing w:before="13" w:after="0" w:line="280" w:lineRule="exac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</w:t>
      </w:r>
    </w:p>
    <w:p w:rsidR="00A36B70" w:rsidRPr="00041FB8" w:rsidRDefault="002530C8">
      <w:pPr>
        <w:spacing w:before="13" w:after="0" w:line="280" w:lineRule="exac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</w:t>
      </w:r>
    </w:p>
    <w:p w:rsidR="00296DBA" w:rsidRPr="00EB60A3" w:rsidRDefault="002530C8">
      <w:pPr>
        <w:spacing w:after="0" w:line="250" w:lineRule="auto"/>
        <w:ind w:left="1329" w:right="335"/>
        <w:rPr>
          <w:rFonts w:ascii="Arial" w:eastAsia="Arial" w:hAnsi="Arial" w:cs="Arial"/>
          <w:bCs/>
          <w:sz w:val="30"/>
          <w:szCs w:val="30"/>
          <w:lang w:val="en-GB"/>
        </w:rPr>
      </w:pPr>
      <w:bookmarkStart w:id="0" w:name="_GoBack"/>
      <w:r w:rsidRPr="00EB60A3">
        <w:rPr>
          <w:rFonts w:ascii="Arial" w:eastAsia="MS Mincho" w:hAnsi="Arial" w:cs="Arial"/>
          <w:snapToGrid w:val="0"/>
          <w:kern w:val="32"/>
          <w:sz w:val="28"/>
          <w:szCs w:val="32"/>
          <w:lang w:val="fr-FR" w:eastAsia="ja-JP"/>
        </w:rPr>
        <w:t xml:space="preserve">RENAULT GRUBU DÜNYA TİCARİ SONUÇLARI </w:t>
      </w:r>
      <w:r w:rsidR="004E7AB3" w:rsidRPr="00EB60A3">
        <w:rPr>
          <w:rFonts w:ascii="Arial" w:eastAsia="Arial" w:hAnsi="Arial" w:cs="Arial"/>
          <w:bCs/>
          <w:sz w:val="30"/>
          <w:szCs w:val="30"/>
          <w:lang w:val="en-GB"/>
        </w:rPr>
        <w:t>2015</w:t>
      </w:r>
    </w:p>
    <w:p w:rsidR="004E7AB3" w:rsidRPr="00041FB8" w:rsidRDefault="002530C8">
      <w:pPr>
        <w:spacing w:after="0" w:line="250" w:lineRule="auto"/>
        <w:ind w:left="1329" w:right="335"/>
        <w:rPr>
          <w:rFonts w:ascii="Arial" w:eastAsia="Arial" w:hAnsi="Arial" w:cs="Arial"/>
          <w:b/>
          <w:bCs/>
          <w:sz w:val="30"/>
          <w:szCs w:val="30"/>
          <w:lang w:val="en-GB"/>
        </w:rPr>
      </w:pPr>
      <w:r>
        <w:rPr>
          <w:rFonts w:ascii="Arial" w:eastAsia="Arial" w:hAnsi="Arial" w:cs="Arial"/>
          <w:b/>
          <w:bCs/>
          <w:sz w:val="30"/>
          <w:szCs w:val="30"/>
          <w:lang w:val="en-GB"/>
        </w:rPr>
        <w:t xml:space="preserve">                                                                                                                 </w:t>
      </w:r>
    </w:p>
    <w:p w:rsidR="00BD04C8" w:rsidRPr="002530C8" w:rsidRDefault="00C27F23">
      <w:pPr>
        <w:spacing w:after="0" w:line="250" w:lineRule="auto"/>
        <w:ind w:left="1329" w:right="335"/>
        <w:rPr>
          <w:rFonts w:ascii="Arial" w:eastAsia="Arial" w:hAnsi="Arial" w:cs="Arial"/>
          <w:sz w:val="30"/>
          <w:szCs w:val="30"/>
          <w:lang w:val="tr-TR"/>
        </w:rPr>
      </w:pPr>
      <w:r>
        <w:rPr>
          <w:rFonts w:ascii="Arial" w:eastAsia="Arial" w:hAnsi="Arial" w:cs="Arial"/>
          <w:b/>
          <w:bCs/>
          <w:sz w:val="30"/>
          <w:szCs w:val="30"/>
          <w:lang w:val="en-GB"/>
        </w:rPr>
        <w:t>RENAULT</w:t>
      </w:r>
      <w:r w:rsidR="00793D9C">
        <w:rPr>
          <w:rFonts w:ascii="Arial" w:eastAsia="Arial" w:hAnsi="Arial" w:cs="Arial"/>
          <w:b/>
          <w:bCs/>
          <w:sz w:val="30"/>
          <w:szCs w:val="30"/>
          <w:lang w:val="en-GB"/>
        </w:rPr>
        <w:t xml:space="preserve"> </w:t>
      </w:r>
      <w:r w:rsidR="00EB60A3">
        <w:rPr>
          <w:rFonts w:ascii="Arial" w:eastAsia="Arial" w:hAnsi="Arial" w:cs="Arial"/>
          <w:b/>
          <w:bCs/>
          <w:sz w:val="30"/>
          <w:szCs w:val="30"/>
          <w:lang w:val="en-GB"/>
        </w:rPr>
        <w:t>GRUBU ARD</w:t>
      </w:r>
      <w:r w:rsidR="002351B6">
        <w:rPr>
          <w:rFonts w:ascii="Arial" w:eastAsia="Arial" w:hAnsi="Arial" w:cs="Arial"/>
          <w:b/>
          <w:bCs/>
          <w:sz w:val="30"/>
          <w:szCs w:val="30"/>
          <w:lang w:val="en-GB"/>
        </w:rPr>
        <w:t>ARDA ÜÇÜNCÜ YILD</w:t>
      </w:r>
      <w:r w:rsidR="002530C8">
        <w:rPr>
          <w:rFonts w:ascii="Arial" w:eastAsia="Arial" w:hAnsi="Arial" w:cs="Arial"/>
          <w:b/>
          <w:bCs/>
          <w:sz w:val="30"/>
          <w:szCs w:val="30"/>
          <w:lang w:val="en-GB"/>
        </w:rPr>
        <w:t>A</w:t>
      </w:r>
      <w:r w:rsidR="002351B6">
        <w:rPr>
          <w:rFonts w:ascii="Arial" w:eastAsia="Arial" w:hAnsi="Arial" w:cs="Arial"/>
          <w:b/>
          <w:bCs/>
          <w:sz w:val="30"/>
          <w:szCs w:val="30"/>
          <w:lang w:val="en-GB"/>
        </w:rPr>
        <w:t xml:space="preserve"> SATIŞLARDA BÜYÜME AÇIK</w:t>
      </w:r>
      <w:r w:rsidR="00EB60A3">
        <w:rPr>
          <w:rFonts w:ascii="Arial" w:eastAsia="Arial" w:hAnsi="Arial" w:cs="Arial"/>
          <w:b/>
          <w:bCs/>
          <w:sz w:val="30"/>
          <w:szCs w:val="30"/>
          <w:lang w:val="en-GB"/>
        </w:rPr>
        <w:t>L</w:t>
      </w:r>
      <w:r w:rsidR="002351B6">
        <w:rPr>
          <w:rFonts w:ascii="Arial" w:eastAsia="Arial" w:hAnsi="Arial" w:cs="Arial"/>
          <w:b/>
          <w:bCs/>
          <w:sz w:val="30"/>
          <w:szCs w:val="30"/>
          <w:lang w:val="en-GB"/>
        </w:rPr>
        <w:t>ADI</w:t>
      </w:r>
      <w:r w:rsidR="00CD62C2" w:rsidRPr="00041FB8">
        <w:rPr>
          <w:rFonts w:ascii="Arial" w:eastAsia="Arial" w:hAnsi="Arial" w:cs="Arial"/>
          <w:b/>
          <w:bCs/>
          <w:sz w:val="30"/>
          <w:szCs w:val="30"/>
          <w:lang w:val="en-GB"/>
        </w:rPr>
        <w:t xml:space="preserve"> </w:t>
      </w:r>
    </w:p>
    <w:p w:rsidR="00296DBA" w:rsidRPr="002530C8" w:rsidRDefault="00296DBA">
      <w:pPr>
        <w:spacing w:before="8" w:after="0" w:line="190" w:lineRule="exact"/>
        <w:rPr>
          <w:sz w:val="19"/>
          <w:szCs w:val="19"/>
          <w:lang w:val="tr-TR"/>
        </w:rPr>
      </w:pPr>
    </w:p>
    <w:p w:rsidR="003E4E48" w:rsidRPr="002530C8" w:rsidRDefault="00780DCB" w:rsidP="00BD04C8">
      <w:pPr>
        <w:spacing w:after="120" w:line="240" w:lineRule="auto"/>
        <w:ind w:left="1327" w:right="2529"/>
        <w:jc w:val="both"/>
        <w:rPr>
          <w:rFonts w:ascii="Arial" w:eastAsia="Arial" w:hAnsi="Arial" w:cs="Arial"/>
          <w:b/>
          <w:bCs/>
          <w:sz w:val="26"/>
          <w:szCs w:val="26"/>
          <w:lang w:val="tr-TR"/>
        </w:rPr>
      </w:pPr>
      <w:r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• </w:t>
      </w:r>
      <w:r w:rsidR="002530C8"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>2015 yılında Grubun sa</w:t>
      </w:r>
      <w:r w:rsidR="002530C8">
        <w:rPr>
          <w:rFonts w:ascii="Arial" w:eastAsia="Arial" w:hAnsi="Arial" w:cs="Arial"/>
          <w:b/>
          <w:bCs/>
          <w:sz w:val="26"/>
          <w:szCs w:val="26"/>
          <w:lang w:val="tr-TR"/>
        </w:rPr>
        <w:t>t</w:t>
      </w:r>
      <w:r w:rsidR="002530C8"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ışları </w:t>
      </w:r>
      <w:r w:rsidR="00EB60A3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yüzde </w:t>
      </w:r>
      <w:r w:rsidR="00A332C9"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>3.3</w:t>
      </w:r>
      <w:r w:rsid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arttı ve </w:t>
      </w:r>
      <w:r w:rsidR="00EB60A3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2 milyon </w:t>
      </w:r>
      <w:r w:rsidR="001E2EBB"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>800</w:t>
      </w:r>
      <w:r w:rsidR="00EB60A3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bin </w:t>
      </w:r>
      <w:r w:rsidR="001E2EBB"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242 </w:t>
      </w:r>
      <w:r w:rsidR="00EB60A3">
        <w:rPr>
          <w:rFonts w:ascii="Arial" w:eastAsia="Arial" w:hAnsi="Arial" w:cs="Arial"/>
          <w:b/>
          <w:bCs/>
          <w:sz w:val="26"/>
          <w:szCs w:val="26"/>
          <w:lang w:val="tr-TR"/>
        </w:rPr>
        <w:t>adet</w:t>
      </w:r>
      <w:r w:rsid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rekor bir düzeye erişti.</w:t>
      </w:r>
      <w:r w:rsidR="003736F6"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</w:t>
      </w:r>
    </w:p>
    <w:p w:rsidR="004E7AB3" w:rsidRPr="002530C8" w:rsidRDefault="003736F6" w:rsidP="00BD04C8">
      <w:pPr>
        <w:spacing w:after="120" w:line="240" w:lineRule="auto"/>
        <w:ind w:left="1327" w:right="2529"/>
        <w:jc w:val="both"/>
        <w:rPr>
          <w:rFonts w:ascii="Arial" w:eastAsia="Arial" w:hAnsi="Arial" w:cs="Arial"/>
          <w:b/>
          <w:bCs/>
          <w:sz w:val="26"/>
          <w:szCs w:val="26"/>
          <w:lang w:val="tr-TR"/>
        </w:rPr>
      </w:pPr>
      <w:r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• </w:t>
      </w:r>
      <w:r w:rsidR="002530C8">
        <w:rPr>
          <w:rFonts w:ascii="Arial" w:eastAsia="Arial" w:hAnsi="Arial" w:cs="Arial"/>
          <w:b/>
          <w:bCs/>
          <w:sz w:val="26"/>
          <w:szCs w:val="26"/>
          <w:lang w:val="tr-TR"/>
        </w:rPr>
        <w:t>Avrupa’da ise Grup</w:t>
      </w:r>
      <w:r w:rsidR="00EB60A3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, pazar payını yüzde </w:t>
      </w:r>
      <w:r w:rsidR="002530C8">
        <w:rPr>
          <w:rFonts w:ascii="Arial" w:eastAsia="Arial" w:hAnsi="Arial" w:cs="Arial"/>
          <w:b/>
          <w:bCs/>
          <w:sz w:val="26"/>
          <w:szCs w:val="26"/>
          <w:lang w:val="tr-TR"/>
        </w:rPr>
        <w:t>10’unun üzerine çıkararak bu yıl da büyüme kaydetti.</w:t>
      </w:r>
    </w:p>
    <w:p w:rsidR="00CA31DB" w:rsidRPr="002530C8" w:rsidRDefault="00C823F4" w:rsidP="00C823F4">
      <w:pPr>
        <w:spacing w:after="120" w:line="240" w:lineRule="auto"/>
        <w:ind w:left="1327" w:right="2529"/>
        <w:jc w:val="both"/>
        <w:rPr>
          <w:rFonts w:ascii="Arial" w:eastAsia="Arial" w:hAnsi="Arial" w:cs="Arial"/>
          <w:b/>
          <w:bCs/>
          <w:sz w:val="26"/>
          <w:szCs w:val="26"/>
          <w:lang w:val="tr-TR"/>
        </w:rPr>
      </w:pPr>
      <w:r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• </w:t>
      </w:r>
      <w:r w:rsidR="002530C8" w:rsidRPr="002530C8">
        <w:rPr>
          <w:rFonts w:ascii="Arial" w:hAnsi="Arial" w:cs="Arial"/>
          <w:b/>
          <w:bCs/>
          <w:sz w:val="26"/>
          <w:szCs w:val="26"/>
          <w:lang w:val="tr-TR"/>
        </w:rPr>
        <w:t xml:space="preserve">Renault </w:t>
      </w:r>
      <w:r w:rsidR="002530C8">
        <w:rPr>
          <w:rFonts w:ascii="Arial" w:hAnsi="Arial" w:cs="Arial"/>
          <w:b/>
          <w:bCs/>
          <w:sz w:val="26"/>
          <w:szCs w:val="26"/>
          <w:lang w:val="tr-TR"/>
        </w:rPr>
        <w:t xml:space="preserve">markası Avrupa’daki </w:t>
      </w:r>
      <w:r w:rsidR="00EB60A3">
        <w:rPr>
          <w:rFonts w:ascii="Arial" w:hAnsi="Arial" w:cs="Arial"/>
          <w:b/>
          <w:bCs/>
          <w:sz w:val="26"/>
          <w:szCs w:val="26"/>
          <w:lang w:val="tr-TR"/>
        </w:rPr>
        <w:t>hafif ticari araç pazarında</w:t>
      </w:r>
      <w:r w:rsidR="002530C8" w:rsidRPr="00B9457D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r w:rsidR="002530C8">
        <w:rPr>
          <w:rFonts w:ascii="Arial" w:hAnsi="Arial" w:cs="Arial"/>
          <w:b/>
          <w:sz w:val="26"/>
          <w:szCs w:val="26"/>
          <w:lang w:val="tr-TR"/>
        </w:rPr>
        <w:t>18</w:t>
      </w:r>
      <w:r w:rsidR="002530C8" w:rsidRPr="002530C8">
        <w:rPr>
          <w:rFonts w:ascii="Arial" w:hAnsi="Arial" w:cs="Arial"/>
          <w:b/>
          <w:sz w:val="26"/>
          <w:szCs w:val="26"/>
          <w:lang w:val="tr-TR"/>
        </w:rPr>
        <w:t xml:space="preserve"> yıldır elinde bulundurduğu liderliği sürdürdü</w:t>
      </w:r>
      <w:r w:rsidR="002530C8">
        <w:rPr>
          <w:rFonts w:ascii="Arial" w:eastAsia="Arial" w:hAnsi="Arial" w:cs="Arial"/>
          <w:b/>
          <w:bCs/>
          <w:sz w:val="26"/>
          <w:szCs w:val="26"/>
          <w:lang w:val="tr-TR"/>
        </w:rPr>
        <w:t>.</w:t>
      </w:r>
    </w:p>
    <w:p w:rsidR="004E7AB3" w:rsidRPr="002530C8" w:rsidRDefault="003736F6" w:rsidP="00BD04C8">
      <w:pPr>
        <w:spacing w:after="120" w:line="240" w:lineRule="auto"/>
        <w:ind w:left="1327" w:right="2529"/>
        <w:jc w:val="both"/>
        <w:rPr>
          <w:rFonts w:ascii="Arial" w:eastAsia="Arial" w:hAnsi="Arial" w:cs="Arial"/>
          <w:b/>
          <w:bCs/>
          <w:sz w:val="26"/>
          <w:szCs w:val="26"/>
          <w:lang w:val="tr-TR"/>
        </w:rPr>
      </w:pPr>
      <w:r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• </w:t>
      </w:r>
      <w:r w:rsidR="001866B7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Grup, </w:t>
      </w:r>
      <w:r w:rsid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Rusya ve Brezilya pazarlarındaki </w:t>
      </w:r>
      <w:r w:rsidR="001866B7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durgunluğa rağmen uluslararası pazarlardaki </w:t>
      </w:r>
      <w:r w:rsidR="00EB60A3">
        <w:rPr>
          <w:rFonts w:ascii="Arial" w:eastAsia="Arial" w:hAnsi="Arial" w:cs="Arial"/>
          <w:b/>
          <w:bCs/>
          <w:sz w:val="26"/>
          <w:szCs w:val="26"/>
          <w:lang w:val="tr-TR"/>
        </w:rPr>
        <w:t>konumunu</w:t>
      </w:r>
      <w:r w:rsidR="001866B7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muhafaza etti.</w:t>
      </w:r>
      <w:r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</w:t>
      </w:r>
    </w:p>
    <w:p w:rsidR="00BD04C8" w:rsidRPr="002530C8" w:rsidRDefault="003736F6" w:rsidP="00BD04C8">
      <w:pPr>
        <w:spacing w:after="120" w:line="240" w:lineRule="auto"/>
        <w:ind w:left="1327" w:right="2529"/>
        <w:jc w:val="both"/>
        <w:rPr>
          <w:rFonts w:ascii="Arial" w:eastAsia="Arial" w:hAnsi="Arial" w:cs="Arial"/>
          <w:b/>
          <w:bCs/>
          <w:sz w:val="26"/>
          <w:szCs w:val="26"/>
          <w:lang w:val="tr-TR"/>
        </w:rPr>
      </w:pPr>
      <w:r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• </w:t>
      </w:r>
      <w:r w:rsidR="001866B7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2015’deki yeni ürünlerin başarısı, planlanan pek çok </w:t>
      </w:r>
      <w:proofErr w:type="spellStart"/>
      <w:r w:rsidR="001866B7">
        <w:rPr>
          <w:rFonts w:ascii="Arial" w:eastAsia="Arial" w:hAnsi="Arial" w:cs="Arial"/>
          <w:b/>
          <w:bCs/>
          <w:sz w:val="26"/>
          <w:szCs w:val="26"/>
          <w:lang w:val="tr-TR"/>
        </w:rPr>
        <w:t>lans</w:t>
      </w:r>
      <w:r w:rsidR="00EB60A3">
        <w:rPr>
          <w:rFonts w:ascii="Arial" w:eastAsia="Arial" w:hAnsi="Arial" w:cs="Arial"/>
          <w:b/>
          <w:bCs/>
          <w:sz w:val="26"/>
          <w:szCs w:val="26"/>
          <w:lang w:val="tr-TR"/>
        </w:rPr>
        <w:t>man</w:t>
      </w:r>
      <w:proofErr w:type="spellEnd"/>
      <w:r w:rsidR="00EB60A3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ve uluslararası faaliyetlerdeki genişleme</w:t>
      </w:r>
      <w:r w:rsidR="001866B7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2016 yılındaki büyüme arzusunu destekleyecektir</w:t>
      </w:r>
      <w:r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>.</w:t>
      </w:r>
    </w:p>
    <w:p w:rsidR="00296DBA" w:rsidRPr="002530C8" w:rsidRDefault="00296DBA">
      <w:pPr>
        <w:spacing w:before="8" w:after="0" w:line="150" w:lineRule="exact"/>
        <w:rPr>
          <w:sz w:val="15"/>
          <w:szCs w:val="15"/>
          <w:lang w:val="tr-TR"/>
        </w:rPr>
      </w:pPr>
    </w:p>
    <w:p w:rsidR="00296DBA" w:rsidRPr="002530C8" w:rsidRDefault="00D8640E">
      <w:pPr>
        <w:spacing w:after="0" w:line="200" w:lineRule="exact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                                                                                         </w:t>
      </w:r>
    </w:p>
    <w:p w:rsidR="00296DBA" w:rsidRPr="002530C8" w:rsidRDefault="001866B7" w:rsidP="00425577">
      <w:pPr>
        <w:spacing w:after="0" w:line="240" w:lineRule="auto"/>
        <w:ind w:left="1335" w:right="2495"/>
        <w:jc w:val="both"/>
        <w:rPr>
          <w:rFonts w:ascii="Arial" w:eastAsia="Arial" w:hAnsi="Arial" w:cs="Arial"/>
          <w:sz w:val="26"/>
          <w:szCs w:val="26"/>
          <w:lang w:val="tr-TR"/>
        </w:rPr>
      </w:pPr>
      <w:r>
        <w:rPr>
          <w:rFonts w:ascii="Arial" w:eastAsia="Arial" w:hAnsi="Arial" w:cs="Arial"/>
          <w:b/>
          <w:bCs/>
          <w:sz w:val="26"/>
          <w:szCs w:val="26"/>
          <w:lang w:val="tr-TR"/>
        </w:rPr>
        <w:t>GLOBAL SATIŞLARDA ARTIŞ</w:t>
      </w:r>
      <w:r w:rsidR="003736F6" w:rsidRPr="002530C8">
        <w:rPr>
          <w:rFonts w:ascii="Arial" w:eastAsia="Arial" w:hAnsi="Arial" w:cs="Arial"/>
          <w:b/>
          <w:bCs/>
          <w:sz w:val="26"/>
          <w:szCs w:val="26"/>
          <w:lang w:val="tr-TR"/>
        </w:rPr>
        <w:t xml:space="preserve"> </w:t>
      </w:r>
    </w:p>
    <w:p w:rsidR="00296DBA" w:rsidRPr="002530C8" w:rsidRDefault="00296DBA">
      <w:pPr>
        <w:spacing w:after="0" w:line="110" w:lineRule="exact"/>
        <w:rPr>
          <w:sz w:val="11"/>
          <w:szCs w:val="11"/>
          <w:lang w:val="tr-TR"/>
        </w:rPr>
      </w:pPr>
    </w:p>
    <w:p w:rsidR="00B004B3" w:rsidRPr="002530C8" w:rsidRDefault="001866B7" w:rsidP="00425577">
      <w:pPr>
        <w:spacing w:after="0" w:line="250" w:lineRule="auto"/>
        <w:ind w:left="1332" w:right="68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2015 senesinde </w:t>
      </w:r>
      <w:r w:rsidR="00CA31DB" w:rsidRPr="002530C8">
        <w:rPr>
          <w:rFonts w:ascii="Arial" w:eastAsia="Arial" w:hAnsi="Arial" w:cs="Arial"/>
          <w:sz w:val="20"/>
          <w:szCs w:val="20"/>
          <w:lang w:val="tr-TR"/>
        </w:rPr>
        <w:t>Renault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Grubu</w:t>
      </w:r>
      <w:r w:rsidR="00EB60A3">
        <w:rPr>
          <w:rFonts w:ascii="Arial" w:eastAsia="Arial" w:hAnsi="Arial" w:cs="Arial"/>
          <w:sz w:val="20"/>
          <w:szCs w:val="20"/>
          <w:lang w:val="tr-TR"/>
        </w:rPr>
        <w:t>’</w:t>
      </w:r>
      <w:r>
        <w:rPr>
          <w:rFonts w:ascii="Arial" w:eastAsia="Arial" w:hAnsi="Arial" w:cs="Arial"/>
          <w:sz w:val="20"/>
          <w:szCs w:val="20"/>
          <w:lang w:val="tr-TR"/>
        </w:rPr>
        <w:t xml:space="preserve">nun </w:t>
      </w:r>
      <w:proofErr w:type="gramStart"/>
      <w:r>
        <w:rPr>
          <w:rFonts w:ascii="Arial" w:eastAsia="Arial" w:hAnsi="Arial" w:cs="Arial"/>
          <w:sz w:val="20"/>
          <w:szCs w:val="20"/>
          <w:lang w:val="tr-TR"/>
        </w:rPr>
        <w:t>global</w:t>
      </w:r>
      <w:proofErr w:type="gramEnd"/>
      <w:r>
        <w:rPr>
          <w:rFonts w:ascii="Arial" w:eastAsia="Arial" w:hAnsi="Arial" w:cs="Arial"/>
          <w:sz w:val="20"/>
          <w:szCs w:val="20"/>
          <w:lang w:val="tr-TR"/>
        </w:rPr>
        <w:t xml:space="preserve"> binek otomobil</w:t>
      </w:r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 ve hafif ticari araç satışları yüzde </w:t>
      </w:r>
      <w:r w:rsidR="00A332C9" w:rsidRPr="002530C8">
        <w:rPr>
          <w:rFonts w:ascii="Arial" w:eastAsia="Arial" w:hAnsi="Arial" w:cs="Arial"/>
          <w:sz w:val="20"/>
          <w:szCs w:val="20"/>
          <w:lang w:val="tr-TR"/>
        </w:rPr>
        <w:t>3.3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artışla toplam 2,</w:t>
      </w:r>
      <w:r w:rsidR="00A332C9" w:rsidRPr="002530C8">
        <w:rPr>
          <w:rFonts w:ascii="Arial" w:eastAsia="Arial" w:hAnsi="Arial" w:cs="Arial"/>
          <w:sz w:val="20"/>
          <w:szCs w:val="20"/>
          <w:lang w:val="tr-TR"/>
        </w:rPr>
        <w:t xml:space="preserve">8 </w:t>
      </w:r>
      <w:r>
        <w:rPr>
          <w:rFonts w:ascii="Arial" w:eastAsia="Arial" w:hAnsi="Arial" w:cs="Arial"/>
          <w:sz w:val="20"/>
          <w:szCs w:val="20"/>
          <w:lang w:val="tr-TR"/>
        </w:rPr>
        <w:t>mily</w:t>
      </w:r>
      <w:r w:rsidR="003736F6" w:rsidRPr="002530C8">
        <w:rPr>
          <w:rFonts w:ascii="Arial" w:eastAsia="Arial" w:hAnsi="Arial" w:cs="Arial"/>
          <w:sz w:val="20"/>
          <w:szCs w:val="20"/>
          <w:lang w:val="tr-TR"/>
        </w:rPr>
        <w:t xml:space="preserve">on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araca ulaştı. Söz konusu pazar genel </w:t>
      </w:r>
      <w:r w:rsidR="00EB60A3">
        <w:rPr>
          <w:rFonts w:ascii="Arial" w:eastAsia="Arial" w:hAnsi="Arial" w:cs="Arial"/>
          <w:sz w:val="20"/>
          <w:szCs w:val="20"/>
          <w:lang w:val="tr-TR"/>
        </w:rPr>
        <w:t>anlamda yüzde</w:t>
      </w:r>
      <w:r>
        <w:rPr>
          <w:rFonts w:ascii="Arial" w:eastAsia="Arial" w:hAnsi="Arial" w:cs="Arial"/>
          <w:sz w:val="20"/>
          <w:szCs w:val="20"/>
          <w:lang w:val="tr-TR"/>
        </w:rPr>
        <w:t>1,</w:t>
      </w:r>
      <w:r w:rsidR="00A332C9" w:rsidRPr="002530C8">
        <w:rPr>
          <w:rFonts w:ascii="Arial" w:eastAsia="Arial" w:hAnsi="Arial" w:cs="Arial"/>
          <w:sz w:val="20"/>
          <w:szCs w:val="20"/>
          <w:lang w:val="tr-TR"/>
        </w:rPr>
        <w:t>6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artış sergiledi.</w:t>
      </w:r>
      <w:r w:rsidR="003736F6" w:rsidRPr="002530C8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Gru</w:t>
      </w:r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p, </w:t>
      </w:r>
      <w:proofErr w:type="spellStart"/>
      <w:r w:rsidR="00EB60A3">
        <w:rPr>
          <w:rFonts w:ascii="Arial" w:eastAsia="Arial" w:hAnsi="Arial" w:cs="Arial"/>
          <w:sz w:val="20"/>
          <w:szCs w:val="20"/>
          <w:lang w:val="tr-TR"/>
        </w:rPr>
        <w:t>ard</w:t>
      </w:r>
      <w:r w:rsidR="00D8640E">
        <w:rPr>
          <w:rFonts w:ascii="Arial" w:eastAsia="Arial" w:hAnsi="Arial" w:cs="Arial"/>
          <w:sz w:val="20"/>
          <w:szCs w:val="20"/>
          <w:lang w:val="tr-TR"/>
        </w:rPr>
        <w:t>arda</w:t>
      </w:r>
      <w:proofErr w:type="spellEnd"/>
      <w:r w:rsidR="00D8640E">
        <w:rPr>
          <w:rFonts w:ascii="Arial" w:eastAsia="Arial" w:hAnsi="Arial" w:cs="Arial"/>
          <w:sz w:val="20"/>
          <w:szCs w:val="20"/>
          <w:lang w:val="tr-TR"/>
        </w:rPr>
        <w:t xml:space="preserve"> üçüncü yıldır satış hacmini artırarak</w:t>
      </w:r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 yeni satış rekoruna imza attı</w:t>
      </w:r>
      <w:r w:rsidR="003736F6" w:rsidRPr="002530C8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 w:rsidR="00D8640E">
        <w:rPr>
          <w:rFonts w:ascii="Arial" w:eastAsia="Arial" w:hAnsi="Arial" w:cs="Arial"/>
          <w:sz w:val="20"/>
          <w:szCs w:val="20"/>
          <w:lang w:val="tr-TR"/>
        </w:rPr>
        <w:t>Gr</w:t>
      </w:r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ubun </w:t>
      </w:r>
      <w:proofErr w:type="gramStart"/>
      <w:r w:rsidR="00EB60A3">
        <w:rPr>
          <w:rFonts w:ascii="Arial" w:eastAsia="Arial" w:hAnsi="Arial" w:cs="Arial"/>
          <w:sz w:val="20"/>
          <w:szCs w:val="20"/>
          <w:lang w:val="tr-TR"/>
        </w:rPr>
        <w:t>global</w:t>
      </w:r>
      <w:proofErr w:type="gramEnd"/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 pazar payı yüzde </w:t>
      </w:r>
      <w:r w:rsidR="00041FB8" w:rsidRPr="002530C8">
        <w:rPr>
          <w:rFonts w:ascii="Arial" w:eastAsia="Arial" w:hAnsi="Arial" w:cs="Arial"/>
          <w:sz w:val="20"/>
          <w:szCs w:val="20"/>
          <w:lang w:val="tr-TR"/>
        </w:rPr>
        <w:t>3.</w:t>
      </w:r>
      <w:r w:rsidR="00A332C9" w:rsidRPr="002530C8">
        <w:rPr>
          <w:rFonts w:ascii="Arial" w:eastAsia="Arial" w:hAnsi="Arial" w:cs="Arial"/>
          <w:sz w:val="20"/>
          <w:szCs w:val="20"/>
          <w:lang w:val="tr-TR"/>
        </w:rPr>
        <w:t>2</w:t>
      </w:r>
      <w:r w:rsidR="00D8640E">
        <w:rPr>
          <w:rFonts w:ascii="Arial" w:eastAsia="Arial" w:hAnsi="Arial" w:cs="Arial"/>
          <w:sz w:val="20"/>
          <w:szCs w:val="20"/>
          <w:lang w:val="tr-TR"/>
        </w:rPr>
        <w:t xml:space="preserve"> düzeyinde</w:t>
      </w:r>
      <w:r w:rsidR="00041FB8" w:rsidRPr="002530C8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 w:rsidR="003736F6" w:rsidRPr="002530C8">
        <w:rPr>
          <w:rFonts w:ascii="Arial" w:eastAsia="Arial" w:hAnsi="Arial" w:cs="Arial"/>
          <w:sz w:val="20"/>
          <w:szCs w:val="20"/>
          <w:lang w:val="tr-TR"/>
        </w:rPr>
        <w:t xml:space="preserve">Renault </w:t>
      </w:r>
      <w:r w:rsidR="00D8640E">
        <w:rPr>
          <w:rFonts w:ascii="Arial" w:eastAsia="Arial" w:hAnsi="Arial" w:cs="Arial"/>
          <w:sz w:val="20"/>
          <w:szCs w:val="20"/>
          <w:lang w:val="tr-TR"/>
        </w:rPr>
        <w:t xml:space="preserve">markası </w:t>
      </w:r>
      <w:r w:rsidR="00D62AB1">
        <w:rPr>
          <w:rFonts w:ascii="Arial" w:eastAsia="Arial" w:hAnsi="Arial" w:cs="Arial"/>
          <w:sz w:val="20"/>
          <w:szCs w:val="20"/>
          <w:lang w:val="tr-TR"/>
        </w:rPr>
        <w:t xml:space="preserve">dünyanın bir numaralı Fransız markası olmaya devam ederken </w:t>
      </w:r>
      <w:r w:rsidR="003736F6" w:rsidRPr="002530C8">
        <w:rPr>
          <w:rFonts w:ascii="Arial" w:eastAsia="Arial" w:hAnsi="Arial" w:cs="Arial"/>
          <w:sz w:val="20"/>
          <w:szCs w:val="20"/>
          <w:lang w:val="tr-TR"/>
        </w:rPr>
        <w:t xml:space="preserve">Dacia </w:t>
      </w:r>
      <w:r w:rsidR="00D62AB1">
        <w:rPr>
          <w:rFonts w:ascii="Arial" w:eastAsia="Arial" w:hAnsi="Arial" w:cs="Arial"/>
          <w:sz w:val="20"/>
          <w:szCs w:val="20"/>
          <w:lang w:val="tr-TR"/>
        </w:rPr>
        <w:t>markası yeni bir satış rekoru kırdı</w:t>
      </w:r>
      <w:r w:rsidR="003736F6" w:rsidRPr="002530C8">
        <w:rPr>
          <w:rFonts w:ascii="Arial" w:eastAsia="Arial" w:hAnsi="Arial" w:cs="Arial"/>
          <w:sz w:val="20"/>
          <w:szCs w:val="20"/>
          <w:lang w:val="tr-TR"/>
        </w:rPr>
        <w:t xml:space="preserve">. </w:t>
      </w:r>
    </w:p>
    <w:p w:rsidR="00B004B3" w:rsidRPr="002530C8" w:rsidRDefault="00D62AB1" w:rsidP="00425577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</w:t>
      </w:r>
    </w:p>
    <w:p w:rsidR="0066183E" w:rsidRPr="002530C8" w:rsidRDefault="00D62AB1" w:rsidP="00425577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Grup, Avrupa otomotiv pazarının sahip olduğu ivmeden </w:t>
      </w:r>
      <w:r w:rsidRPr="002530C8">
        <w:rPr>
          <w:rFonts w:ascii="Arial" w:eastAsia="Arial" w:hAnsi="Arial" w:cs="Arial"/>
          <w:sz w:val="20"/>
          <w:szCs w:val="20"/>
          <w:lang w:val="tr-TR"/>
        </w:rPr>
        <w:t>(+</w:t>
      </w:r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yüzde </w:t>
      </w:r>
      <w:r w:rsidRPr="002530C8">
        <w:rPr>
          <w:rFonts w:ascii="Arial" w:eastAsia="Arial" w:hAnsi="Arial" w:cs="Arial"/>
          <w:sz w:val="20"/>
          <w:szCs w:val="20"/>
          <w:lang w:val="tr-TR"/>
        </w:rPr>
        <w:t>9,4</w:t>
      </w:r>
      <w:r>
        <w:rPr>
          <w:rFonts w:ascii="Arial" w:eastAsia="Arial" w:hAnsi="Arial" w:cs="Arial"/>
          <w:sz w:val="20"/>
          <w:szCs w:val="20"/>
          <w:lang w:val="tr-TR"/>
        </w:rPr>
        <w:t>) i</w:t>
      </w:r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stifade etmeye devam ediyor ve yüzde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10,1’lik pazar payına sahip </w:t>
      </w:r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olduğu bölgede satışlarını yüzde </w:t>
      </w:r>
      <w:r>
        <w:rPr>
          <w:rFonts w:ascii="Arial" w:eastAsia="Arial" w:hAnsi="Arial" w:cs="Arial"/>
          <w:sz w:val="20"/>
          <w:szCs w:val="20"/>
          <w:lang w:val="tr-TR"/>
        </w:rPr>
        <w:t>10,</w:t>
      </w:r>
      <w:r w:rsidR="002C4CED">
        <w:rPr>
          <w:rFonts w:ascii="Arial" w:eastAsia="Arial" w:hAnsi="Arial" w:cs="Arial"/>
          <w:sz w:val="20"/>
          <w:szCs w:val="20"/>
          <w:lang w:val="tr-TR"/>
        </w:rPr>
        <w:t>2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artırarak </w:t>
      </w:r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1 milyon 613 bin </w:t>
      </w:r>
      <w:r w:rsidRPr="002530C8">
        <w:rPr>
          <w:rFonts w:ascii="Arial" w:eastAsia="Arial" w:hAnsi="Arial" w:cs="Arial"/>
          <w:sz w:val="20"/>
          <w:szCs w:val="20"/>
          <w:lang w:val="tr-TR"/>
        </w:rPr>
        <w:t>499</w:t>
      </w:r>
      <w:r w:rsidR="003736F6" w:rsidRPr="002530C8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araç satışına erişti</w:t>
      </w:r>
      <w:r w:rsidR="003736F6" w:rsidRPr="002530C8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 w:rsidR="00130D09" w:rsidRPr="002530C8">
        <w:rPr>
          <w:rFonts w:ascii="Arial" w:eastAsia="Arial" w:hAnsi="Arial" w:cs="Arial"/>
          <w:sz w:val="20"/>
          <w:szCs w:val="20"/>
          <w:lang w:val="tr-TR"/>
        </w:rPr>
        <w:t xml:space="preserve">Renault </w:t>
      </w:r>
      <w:r w:rsidR="00EB60A3">
        <w:rPr>
          <w:rFonts w:ascii="Arial" w:eastAsia="Arial" w:hAnsi="Arial" w:cs="Arial"/>
          <w:sz w:val="20"/>
          <w:szCs w:val="20"/>
          <w:lang w:val="tr-TR"/>
        </w:rPr>
        <w:t>Avrupa’da,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aynı zamanda elektrik </w:t>
      </w:r>
      <w:r w:rsidR="00EB60A3">
        <w:rPr>
          <w:rFonts w:ascii="Arial" w:eastAsia="Arial" w:hAnsi="Arial" w:cs="Arial"/>
          <w:sz w:val="20"/>
          <w:szCs w:val="20"/>
          <w:lang w:val="tr-TR"/>
        </w:rPr>
        <w:t xml:space="preserve">motorlu </w:t>
      </w:r>
      <w:r>
        <w:rPr>
          <w:rFonts w:ascii="Arial" w:eastAsia="Arial" w:hAnsi="Arial" w:cs="Arial"/>
          <w:sz w:val="20"/>
          <w:szCs w:val="20"/>
          <w:lang w:val="tr-TR"/>
        </w:rPr>
        <w:t>araç pazarının da lideri ve peş peşe 18’inci senede de hafif tic</w:t>
      </w:r>
      <w:r w:rsidR="00EB60A3">
        <w:rPr>
          <w:rFonts w:ascii="Arial" w:eastAsia="Arial" w:hAnsi="Arial" w:cs="Arial"/>
          <w:sz w:val="20"/>
          <w:szCs w:val="20"/>
          <w:lang w:val="tr-TR"/>
        </w:rPr>
        <w:t>ari araç pazarında lider konum</w:t>
      </w:r>
      <w:r>
        <w:rPr>
          <w:rFonts w:ascii="Arial" w:eastAsia="Arial" w:hAnsi="Arial" w:cs="Arial"/>
          <w:sz w:val="20"/>
          <w:szCs w:val="20"/>
          <w:lang w:val="tr-TR"/>
        </w:rPr>
        <w:t>da</w:t>
      </w:r>
      <w:r w:rsidR="00A07246" w:rsidRPr="002530C8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66183E" w:rsidRPr="002530C8" w:rsidRDefault="0066183E" w:rsidP="00425577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A92650" w:rsidRPr="002530C8" w:rsidRDefault="00D62AB1" w:rsidP="00425577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>Avrupa dışında ise hem Rusya hem de Latin Amerika’daki ekonomik krize rağmen Grup</w:t>
      </w:r>
      <w:r w:rsidR="00EB60A3">
        <w:rPr>
          <w:rFonts w:ascii="Arial" w:eastAsia="Arial" w:hAnsi="Arial" w:cs="Arial"/>
          <w:sz w:val="20"/>
          <w:szCs w:val="20"/>
          <w:lang w:val="tr-TR"/>
        </w:rPr>
        <w:t>,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istikrarını korudu ve Afrika, Orta Doğu, Hindistan ve Avrasya bölgesinde rekor düzeyde pazar payı elde etti</w:t>
      </w:r>
      <w:r w:rsidR="003736F6" w:rsidRPr="002530C8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A92650" w:rsidRPr="002530C8" w:rsidRDefault="00D62AB1" w:rsidP="00425577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</w:t>
      </w:r>
    </w:p>
    <w:p w:rsidR="00E00F10" w:rsidRPr="002530C8" w:rsidRDefault="002B54AF" w:rsidP="00425577">
      <w:pPr>
        <w:spacing w:after="0" w:line="250" w:lineRule="auto"/>
        <w:ind w:left="1332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Renault</w:t>
      </w:r>
      <w:r w:rsidR="00EB60A3">
        <w:rPr>
          <w:rFonts w:ascii="Arial" w:hAnsi="Arial" w:cs="Arial"/>
          <w:sz w:val="20"/>
          <w:szCs w:val="20"/>
          <w:lang w:val="tr-TR"/>
        </w:rPr>
        <w:t xml:space="preserve"> Grubu Satış ve Pazarlama Bölüm</w:t>
      </w:r>
      <w:r>
        <w:rPr>
          <w:rFonts w:ascii="Arial" w:hAnsi="Arial" w:cs="Arial"/>
          <w:sz w:val="20"/>
          <w:szCs w:val="20"/>
          <w:lang w:val="tr-TR"/>
        </w:rPr>
        <w:t xml:space="preserve"> Başkan Yardımcısı </w:t>
      </w:r>
      <w:proofErr w:type="spellStart"/>
      <w:r w:rsidR="003736F6" w:rsidRPr="002530C8">
        <w:rPr>
          <w:rFonts w:ascii="Arial" w:hAnsi="Arial" w:cs="Arial"/>
          <w:sz w:val="20"/>
          <w:szCs w:val="20"/>
          <w:lang w:val="tr-TR"/>
        </w:rPr>
        <w:t>Thierry</w:t>
      </w:r>
      <w:proofErr w:type="spellEnd"/>
      <w:r w:rsidR="003736F6" w:rsidRPr="002530C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3736F6" w:rsidRPr="002530C8">
        <w:rPr>
          <w:rFonts w:ascii="Arial" w:hAnsi="Arial" w:cs="Arial"/>
          <w:sz w:val="20"/>
          <w:szCs w:val="20"/>
          <w:lang w:val="tr-TR"/>
        </w:rPr>
        <w:t>Koskas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şu ifadeleri kulandı</w:t>
      </w:r>
      <w:r w:rsidR="003736F6" w:rsidRPr="002530C8">
        <w:rPr>
          <w:rFonts w:ascii="Arial" w:hAnsi="Arial" w:cs="Arial"/>
          <w:sz w:val="20"/>
          <w:szCs w:val="20"/>
          <w:lang w:val="tr-TR"/>
        </w:rPr>
        <w:t>:</w:t>
      </w:r>
      <w:r w:rsidR="003736F6" w:rsidRPr="002530C8">
        <w:rPr>
          <w:rFonts w:ascii="Arial" w:hAnsi="Arial" w:cs="Arial"/>
          <w:i/>
          <w:sz w:val="20"/>
          <w:szCs w:val="20"/>
          <w:lang w:val="tr-TR"/>
        </w:rPr>
        <w:t xml:space="preserve"> "2015</w:t>
      </w:r>
      <w:r>
        <w:rPr>
          <w:rFonts w:ascii="Arial" w:hAnsi="Arial" w:cs="Arial"/>
          <w:i/>
          <w:sz w:val="20"/>
          <w:szCs w:val="20"/>
          <w:lang w:val="tr-TR"/>
        </w:rPr>
        <w:t xml:space="preserve"> senesi Renault Grubu’nun satışlarında bir kez daha artış kaydedilen bir yıl oldu.</w:t>
      </w:r>
      <w:r w:rsidR="003736F6" w:rsidRPr="002530C8">
        <w:rPr>
          <w:rFonts w:ascii="Arial" w:hAnsi="Arial" w:cs="Arial"/>
          <w:i/>
          <w:sz w:val="20"/>
          <w:szCs w:val="20"/>
          <w:lang w:val="tr-TR"/>
        </w:rPr>
        <w:t xml:space="preserve"> </w:t>
      </w:r>
      <w:r>
        <w:rPr>
          <w:rFonts w:ascii="Arial" w:hAnsi="Arial" w:cs="Arial"/>
          <w:i/>
          <w:sz w:val="20"/>
          <w:szCs w:val="20"/>
          <w:lang w:val="tr-TR"/>
        </w:rPr>
        <w:t>Ve bizler bu şekilde daha önceki satış rekorumuzu kırmış olduk</w:t>
      </w:r>
      <w:r w:rsidR="003736F6" w:rsidRPr="002530C8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>
        <w:rPr>
          <w:rFonts w:ascii="Arial" w:hAnsi="Arial" w:cs="Arial"/>
          <w:i/>
          <w:sz w:val="20"/>
          <w:szCs w:val="20"/>
          <w:lang w:val="tr-TR"/>
        </w:rPr>
        <w:t>Bölgeden bölgeye değişiklik gösteren ekonomik koşullara rağmen sergilediğimiz büyümede istikrarlı oldu. Bu da geçmiş yıllarda sağladığımız coğrafik çeşitlilik stratejimizi doğruladı</w:t>
      </w:r>
      <w:r w:rsidR="003736F6" w:rsidRPr="002530C8">
        <w:rPr>
          <w:rFonts w:ascii="Arial" w:hAnsi="Arial" w:cs="Arial"/>
          <w:i/>
          <w:sz w:val="20"/>
          <w:szCs w:val="20"/>
          <w:lang w:val="tr-TR"/>
        </w:rPr>
        <w:t xml:space="preserve">." </w:t>
      </w:r>
    </w:p>
    <w:p w:rsidR="00E00F10" w:rsidRPr="002530C8" w:rsidRDefault="00E00F10" w:rsidP="00A36B70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296DBA" w:rsidRPr="00041FB8" w:rsidRDefault="00296DBA" w:rsidP="00A36B70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A36B70" w:rsidRPr="00041FB8" w:rsidRDefault="003736F6">
      <w:pPr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br w:type="page"/>
      </w:r>
    </w:p>
    <w:p w:rsidR="00296DBA" w:rsidRPr="00041FB8" w:rsidRDefault="00296DBA" w:rsidP="00A36B70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545801" w:rsidRPr="00041FB8" w:rsidRDefault="00545801" w:rsidP="00A36B70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545801" w:rsidRPr="00041FB8" w:rsidRDefault="00545801" w:rsidP="00A36B70">
      <w:pPr>
        <w:spacing w:after="0" w:line="250" w:lineRule="auto"/>
        <w:ind w:left="1335" w:right="66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296DBA" w:rsidRPr="002B54AF" w:rsidRDefault="002B54AF" w:rsidP="00D51702">
      <w:pPr>
        <w:spacing w:before="27" w:after="0" w:line="240" w:lineRule="auto"/>
        <w:ind w:left="1349" w:right="85"/>
        <w:jc w:val="both"/>
        <w:rPr>
          <w:rFonts w:ascii="Arial" w:eastAsia="Arial" w:hAnsi="Arial" w:cs="Arial"/>
          <w:b/>
          <w:bCs/>
          <w:sz w:val="26"/>
          <w:szCs w:val="26"/>
          <w:lang w:val="tr-TR"/>
        </w:rPr>
      </w:pPr>
      <w:r>
        <w:rPr>
          <w:rFonts w:ascii="Arial" w:eastAsia="Arial" w:hAnsi="Arial" w:cs="Arial"/>
          <w:b/>
          <w:bCs/>
          <w:sz w:val="26"/>
          <w:szCs w:val="26"/>
          <w:lang w:val="tr-TR"/>
        </w:rPr>
        <w:t>AVRUPA’DAKİ B</w:t>
      </w:r>
      <w:r w:rsidR="00DF16F3">
        <w:rPr>
          <w:rFonts w:ascii="Arial" w:eastAsia="Arial" w:hAnsi="Arial" w:cs="Arial"/>
          <w:b/>
          <w:bCs/>
          <w:sz w:val="26"/>
          <w:szCs w:val="26"/>
          <w:lang w:val="tr-TR"/>
        </w:rPr>
        <w:t>AŞARI YENİ ÜRÜNLERLE GELDİ</w:t>
      </w:r>
    </w:p>
    <w:p w:rsidR="00296DBA" w:rsidRPr="002B54AF" w:rsidRDefault="00296DBA">
      <w:pPr>
        <w:spacing w:before="1" w:after="0" w:line="110" w:lineRule="exact"/>
        <w:rPr>
          <w:sz w:val="11"/>
          <w:szCs w:val="11"/>
          <w:lang w:val="tr-TR"/>
        </w:rPr>
      </w:pPr>
    </w:p>
    <w:p w:rsidR="008307F8" w:rsidRPr="002B54AF" w:rsidRDefault="002C4CED" w:rsidP="008307F8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Grubun </w:t>
      </w:r>
      <w:r w:rsidRPr="002C4CED">
        <w:rPr>
          <w:rFonts w:ascii="Arial" w:eastAsia="Arial" w:hAnsi="Arial" w:cs="Arial"/>
          <w:b/>
          <w:sz w:val="20"/>
          <w:szCs w:val="20"/>
          <w:lang w:val="tr-TR"/>
        </w:rPr>
        <w:t>Avrupa</w:t>
      </w:r>
      <w:r>
        <w:rPr>
          <w:rFonts w:ascii="Arial" w:eastAsia="Arial" w:hAnsi="Arial" w:cs="Arial"/>
          <w:b/>
          <w:sz w:val="20"/>
          <w:szCs w:val="20"/>
          <w:lang w:val="tr-TR"/>
        </w:rPr>
        <w:t>’daki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Pr="002C4CED">
        <w:rPr>
          <w:rFonts w:ascii="Arial" w:eastAsia="Arial" w:hAnsi="Arial" w:cs="Arial"/>
          <w:b/>
          <w:sz w:val="20"/>
          <w:szCs w:val="20"/>
          <w:lang w:val="tr-TR"/>
        </w:rPr>
        <w:t>Binek Otomobil ve Hafif Ticari Araç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pazarındaki payı yüzde </w:t>
      </w:r>
      <w:r>
        <w:rPr>
          <w:rFonts w:ascii="Arial" w:eastAsia="Arial" w:hAnsi="Arial" w:cs="Arial"/>
          <w:sz w:val="20"/>
          <w:szCs w:val="20"/>
          <w:lang w:val="tr-TR"/>
        </w:rPr>
        <w:t>10,1’e ç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ıktı ve bu şekilde satışlarını yüzde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10,2 artırarak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1 milyon </w:t>
      </w:r>
      <w:r w:rsidRPr="002530C8">
        <w:rPr>
          <w:rFonts w:ascii="Arial" w:eastAsia="Arial" w:hAnsi="Arial" w:cs="Arial"/>
          <w:sz w:val="20"/>
          <w:szCs w:val="20"/>
          <w:lang w:val="tr-TR"/>
        </w:rPr>
        <w:t>613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bin </w:t>
      </w:r>
      <w:r w:rsidRPr="002530C8">
        <w:rPr>
          <w:rFonts w:ascii="Arial" w:eastAsia="Arial" w:hAnsi="Arial" w:cs="Arial"/>
          <w:sz w:val="20"/>
          <w:szCs w:val="20"/>
          <w:lang w:val="tr-TR"/>
        </w:rPr>
        <w:t xml:space="preserve">499 </w:t>
      </w:r>
      <w:r>
        <w:rPr>
          <w:rFonts w:ascii="Arial" w:eastAsia="Arial" w:hAnsi="Arial" w:cs="Arial"/>
          <w:sz w:val="20"/>
          <w:szCs w:val="20"/>
          <w:lang w:val="tr-TR"/>
        </w:rPr>
        <w:t>adet araç satışına erişti</w:t>
      </w:r>
      <w:r>
        <w:rPr>
          <w:rFonts w:ascii="Arial" w:eastAsia="Arial" w:hAnsi="Arial" w:cs="Arial"/>
          <w:b/>
          <w:sz w:val="20"/>
          <w:szCs w:val="20"/>
          <w:lang w:val="tr-TR"/>
        </w:rPr>
        <w:t xml:space="preserve">. </w:t>
      </w:r>
      <w:r w:rsidRPr="002C4CED">
        <w:rPr>
          <w:rFonts w:ascii="Arial" w:eastAsia="Arial" w:hAnsi="Arial" w:cs="Arial"/>
          <w:sz w:val="20"/>
          <w:szCs w:val="20"/>
          <w:lang w:val="tr-TR"/>
        </w:rPr>
        <w:t xml:space="preserve">Grubun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bölgedeki tüm ülkelerde satışları arttı. Özellikle de İspanya’da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(+</w:t>
      </w:r>
      <w:r>
        <w:rPr>
          <w:rFonts w:ascii="Arial" w:eastAsia="Arial" w:hAnsi="Arial" w:cs="Arial"/>
          <w:sz w:val="20"/>
          <w:szCs w:val="20"/>
          <w:lang w:val="tr-TR"/>
        </w:rPr>
        <w:t>%22.3</w:t>
      </w:r>
      <w:r w:rsidR="00DC1EDF" w:rsidRPr="002B54AF">
        <w:rPr>
          <w:rFonts w:ascii="Arial" w:eastAsia="Arial" w:hAnsi="Arial" w:cs="Arial"/>
          <w:sz w:val="20"/>
          <w:szCs w:val="20"/>
          <w:lang w:val="tr-TR"/>
        </w:rPr>
        <w:t xml:space="preserve">), </w:t>
      </w:r>
      <w:r>
        <w:rPr>
          <w:rFonts w:ascii="Arial" w:eastAsia="Arial" w:hAnsi="Arial" w:cs="Arial"/>
          <w:sz w:val="20"/>
          <w:szCs w:val="20"/>
          <w:lang w:val="tr-TR"/>
        </w:rPr>
        <w:t>İngiltere</w:t>
      </w:r>
      <w:r w:rsidR="00DC1EDF" w:rsidRPr="002B54AF">
        <w:rPr>
          <w:rFonts w:ascii="Arial" w:eastAsia="Arial" w:hAnsi="Arial" w:cs="Arial"/>
          <w:sz w:val="20"/>
          <w:szCs w:val="20"/>
          <w:lang w:val="tr-TR"/>
        </w:rPr>
        <w:t xml:space="preserve"> (+</w:t>
      </w:r>
      <w:r>
        <w:rPr>
          <w:rFonts w:ascii="Arial" w:eastAsia="Arial" w:hAnsi="Arial" w:cs="Arial"/>
          <w:sz w:val="20"/>
          <w:szCs w:val="20"/>
          <w:lang w:val="tr-TR"/>
        </w:rPr>
        <w:t>%</w:t>
      </w:r>
      <w:r w:rsidR="00DC1EDF" w:rsidRPr="002B54AF">
        <w:rPr>
          <w:rFonts w:ascii="Arial" w:eastAsia="Arial" w:hAnsi="Arial" w:cs="Arial"/>
          <w:sz w:val="20"/>
          <w:szCs w:val="20"/>
          <w:lang w:val="tr-TR"/>
        </w:rPr>
        <w:t>17.7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) </w:t>
      </w:r>
      <w:r>
        <w:rPr>
          <w:rFonts w:ascii="Arial" w:eastAsia="Arial" w:hAnsi="Arial" w:cs="Arial"/>
          <w:sz w:val="20"/>
          <w:szCs w:val="20"/>
          <w:lang w:val="tr-TR"/>
        </w:rPr>
        <w:t>İ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taly</w:t>
      </w:r>
      <w:r>
        <w:rPr>
          <w:rFonts w:ascii="Arial" w:eastAsia="Arial" w:hAnsi="Arial" w:cs="Arial"/>
          <w:sz w:val="20"/>
          <w:szCs w:val="20"/>
          <w:lang w:val="tr-TR"/>
        </w:rPr>
        <w:t>a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(+</w:t>
      </w:r>
      <w:r>
        <w:rPr>
          <w:rFonts w:ascii="Arial" w:eastAsia="Arial" w:hAnsi="Arial" w:cs="Arial"/>
          <w:sz w:val="20"/>
          <w:szCs w:val="20"/>
          <w:lang w:val="tr-TR"/>
        </w:rPr>
        <w:t>%</w:t>
      </w:r>
      <w:r w:rsidR="00DC1EDF" w:rsidRPr="002B54AF">
        <w:rPr>
          <w:rFonts w:ascii="Arial" w:eastAsia="Arial" w:hAnsi="Arial" w:cs="Arial"/>
          <w:sz w:val="20"/>
          <w:szCs w:val="20"/>
          <w:lang w:val="tr-TR"/>
        </w:rPr>
        <w:t>18</w:t>
      </w:r>
      <w:r>
        <w:rPr>
          <w:rFonts w:ascii="Arial" w:eastAsia="Arial" w:hAnsi="Arial" w:cs="Arial"/>
          <w:sz w:val="20"/>
          <w:szCs w:val="20"/>
          <w:lang w:val="tr-TR"/>
        </w:rPr>
        <w:t>) olmak üzere rekor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düzeyde yüzde </w:t>
      </w:r>
      <w:r w:rsidR="00DC1EDF" w:rsidRPr="002B54AF">
        <w:rPr>
          <w:rFonts w:ascii="Arial" w:eastAsia="Arial" w:hAnsi="Arial" w:cs="Arial"/>
          <w:sz w:val="20"/>
          <w:szCs w:val="20"/>
          <w:lang w:val="tr-TR"/>
        </w:rPr>
        <w:t>9.1</w:t>
      </w:r>
      <w:r>
        <w:rPr>
          <w:rFonts w:ascii="Arial" w:eastAsia="Arial" w:hAnsi="Arial" w:cs="Arial"/>
          <w:sz w:val="20"/>
          <w:szCs w:val="20"/>
          <w:lang w:val="tr-TR"/>
        </w:rPr>
        <w:t>’lik pazar payı elde edildi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A36B70" w:rsidRPr="002B54AF" w:rsidRDefault="005F79F4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  </w:t>
      </w:r>
    </w:p>
    <w:p w:rsidR="00590A42" w:rsidRPr="002B54AF" w:rsidRDefault="00DC1EDF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2015 </w:t>
      </w:r>
      <w:r w:rsidR="005F79F4">
        <w:rPr>
          <w:rFonts w:ascii="Arial" w:eastAsia="Arial" w:hAnsi="Arial" w:cs="Arial"/>
          <w:sz w:val="20"/>
          <w:szCs w:val="20"/>
          <w:lang w:val="tr-TR"/>
        </w:rPr>
        <w:t>senesi Renault markası için büyüme yılı oldu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 w:rsidR="005F79F4">
        <w:rPr>
          <w:rFonts w:ascii="Arial" w:eastAsia="Arial" w:hAnsi="Arial" w:cs="Arial"/>
          <w:sz w:val="20"/>
          <w:szCs w:val="20"/>
          <w:lang w:val="tr-TR"/>
        </w:rPr>
        <w:t>Renault, 2015’de en hızlı büyüyen marka olma başarısını elde etti</w:t>
      </w:r>
      <w:r w:rsidRPr="002B54AF">
        <w:rPr>
          <w:rFonts w:ascii="Arial" w:eastAsia="Arial" w:hAnsi="Arial" w:cs="Arial"/>
          <w:sz w:val="20"/>
          <w:szCs w:val="20"/>
          <w:lang w:val="tr-TR"/>
        </w:rPr>
        <w:t>.</w:t>
      </w:r>
      <w:r w:rsidR="004A2DD1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1 milyon 238 bin 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711 </w:t>
      </w:r>
      <w:r w:rsidR="005F79F4">
        <w:rPr>
          <w:rFonts w:ascii="Arial" w:eastAsia="Arial" w:hAnsi="Arial" w:cs="Arial"/>
          <w:sz w:val="20"/>
          <w:szCs w:val="20"/>
          <w:lang w:val="tr-TR"/>
        </w:rPr>
        <w:t xml:space="preserve">adetlik satış sayesinde </w:t>
      </w:r>
      <w:r w:rsidRPr="002B54AF">
        <w:rPr>
          <w:rFonts w:ascii="Arial" w:eastAsia="Arial" w:hAnsi="Arial" w:cs="Arial"/>
          <w:sz w:val="20"/>
          <w:szCs w:val="20"/>
          <w:lang w:val="tr-TR"/>
        </w:rPr>
        <w:t>(+</w:t>
      </w:r>
      <w:r w:rsidR="005F79F4">
        <w:rPr>
          <w:rFonts w:ascii="Arial" w:eastAsia="Arial" w:hAnsi="Arial" w:cs="Arial"/>
          <w:sz w:val="20"/>
          <w:szCs w:val="20"/>
          <w:lang w:val="tr-TR"/>
        </w:rPr>
        <w:t>%</w:t>
      </w:r>
      <w:r w:rsidRPr="002B54AF">
        <w:rPr>
          <w:rFonts w:ascii="Arial" w:eastAsia="Arial" w:hAnsi="Arial" w:cs="Arial"/>
          <w:sz w:val="20"/>
          <w:szCs w:val="20"/>
          <w:lang w:val="tr-TR"/>
        </w:rPr>
        <w:t>12.3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) Grubun pazar payı yüzde </w:t>
      </w:r>
      <w:r w:rsidR="005F79F4">
        <w:rPr>
          <w:rFonts w:ascii="Arial" w:eastAsia="Arial" w:hAnsi="Arial" w:cs="Arial"/>
          <w:sz w:val="20"/>
          <w:szCs w:val="20"/>
          <w:lang w:val="tr-TR"/>
        </w:rPr>
        <w:t>7.8’e erişti.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Bu oran 2014’te yüzde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7.6%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ve 2013’te yüzde </w:t>
      </w:r>
      <w:r w:rsidR="005F79F4">
        <w:rPr>
          <w:rFonts w:ascii="Arial" w:eastAsia="Arial" w:hAnsi="Arial" w:cs="Arial"/>
          <w:sz w:val="20"/>
          <w:szCs w:val="20"/>
          <w:lang w:val="tr-TR"/>
        </w:rPr>
        <w:t>7.4 idi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proofErr w:type="spellStart"/>
      <w:r w:rsidR="00793002" w:rsidRPr="002B54AF">
        <w:rPr>
          <w:rFonts w:ascii="Arial" w:eastAsia="Arial" w:hAnsi="Arial" w:cs="Arial"/>
          <w:sz w:val="20"/>
          <w:szCs w:val="20"/>
          <w:lang w:val="tr-TR"/>
        </w:rPr>
        <w:t>Clio</w:t>
      </w:r>
      <w:proofErr w:type="spellEnd"/>
      <w:r w:rsidR="00793002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5F79F4">
        <w:rPr>
          <w:rFonts w:ascii="Arial" w:eastAsia="Arial" w:hAnsi="Arial" w:cs="Arial"/>
          <w:sz w:val="20"/>
          <w:szCs w:val="20"/>
          <w:lang w:val="tr-TR"/>
        </w:rPr>
        <w:t xml:space="preserve">tüm satışlarda ve tüm </w:t>
      </w:r>
      <w:proofErr w:type="spellStart"/>
      <w:r w:rsidR="005F79F4">
        <w:rPr>
          <w:rFonts w:ascii="Arial" w:eastAsia="Arial" w:hAnsi="Arial" w:cs="Arial"/>
          <w:sz w:val="20"/>
          <w:szCs w:val="20"/>
          <w:lang w:val="tr-TR"/>
        </w:rPr>
        <w:t>segmentlerde</w:t>
      </w:r>
      <w:proofErr w:type="spellEnd"/>
      <w:r w:rsidR="005F79F4">
        <w:rPr>
          <w:rFonts w:ascii="Arial" w:eastAsia="Arial" w:hAnsi="Arial" w:cs="Arial"/>
          <w:sz w:val="20"/>
          <w:szCs w:val="20"/>
          <w:lang w:val="tr-TR"/>
        </w:rPr>
        <w:t xml:space="preserve"> lider olmaya devam etti</w:t>
      </w:r>
      <w:r w:rsidR="00793002" w:rsidRPr="002B54AF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590A42" w:rsidRPr="002B54AF" w:rsidRDefault="00590A42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02409E" w:rsidRDefault="005F79F4" w:rsidP="00831A69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2C4CED">
        <w:rPr>
          <w:rFonts w:ascii="Arial" w:eastAsia="Arial" w:hAnsi="Arial" w:cs="Arial"/>
          <w:b/>
          <w:sz w:val="20"/>
          <w:szCs w:val="20"/>
          <w:lang w:val="tr-TR"/>
        </w:rPr>
        <w:t xml:space="preserve">Binek Otomobil </w:t>
      </w:r>
      <w:r>
        <w:rPr>
          <w:rFonts w:ascii="Arial" w:eastAsia="Arial" w:hAnsi="Arial" w:cs="Arial"/>
          <w:b/>
          <w:sz w:val="20"/>
          <w:szCs w:val="20"/>
          <w:lang w:val="tr-TR"/>
        </w:rPr>
        <w:t>pazarında</w:t>
      </w:r>
      <w:r w:rsidR="00DC1EDF" w:rsidRPr="002B54AF">
        <w:rPr>
          <w:rFonts w:ascii="Arial" w:eastAsia="Arial" w:hAnsi="Arial" w:cs="Arial"/>
          <w:sz w:val="20"/>
          <w:szCs w:val="20"/>
          <w:lang w:val="tr-TR"/>
        </w:rPr>
        <w:t xml:space="preserve"> (+</w:t>
      </w:r>
      <w:r>
        <w:rPr>
          <w:rFonts w:ascii="Arial" w:eastAsia="Arial" w:hAnsi="Arial" w:cs="Arial"/>
          <w:sz w:val="20"/>
          <w:szCs w:val="20"/>
          <w:lang w:val="tr-TR"/>
        </w:rPr>
        <w:t>%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11.1 artışla 969 bin </w:t>
      </w:r>
      <w:r w:rsidR="00DC1EDF" w:rsidRPr="002B54AF">
        <w:rPr>
          <w:rFonts w:ascii="Arial" w:eastAsia="Arial" w:hAnsi="Arial" w:cs="Arial"/>
          <w:sz w:val="20"/>
          <w:szCs w:val="20"/>
          <w:lang w:val="tr-TR"/>
        </w:rPr>
        <w:t>508</w:t>
      </w:r>
      <w:r w:rsidR="00384B7E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araç)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Renault, A+B </w:t>
      </w:r>
      <w:proofErr w:type="spellStart"/>
      <w:r w:rsidR="00DF16F3">
        <w:rPr>
          <w:rFonts w:ascii="Arial" w:eastAsia="Arial" w:hAnsi="Arial" w:cs="Arial"/>
          <w:sz w:val="20"/>
          <w:szCs w:val="20"/>
          <w:lang w:val="tr-TR"/>
        </w:rPr>
        <w:t>segmentlerinde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liderliğini sürdürdü. Bu başarı </w:t>
      </w:r>
      <w:proofErr w:type="spellStart"/>
      <w:r w:rsidR="00384B7E" w:rsidRPr="002B54AF">
        <w:rPr>
          <w:rFonts w:ascii="Arial" w:eastAsia="Arial" w:hAnsi="Arial" w:cs="Arial"/>
          <w:sz w:val="20"/>
          <w:szCs w:val="20"/>
          <w:lang w:val="tr-TR"/>
        </w:rPr>
        <w:t>Clio</w:t>
      </w:r>
      <w:proofErr w:type="spellEnd"/>
      <w:r w:rsidR="00384B7E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ve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kendi </w:t>
      </w:r>
      <w:proofErr w:type="spellStart"/>
      <w:r w:rsidR="00DF16F3">
        <w:rPr>
          <w:rFonts w:ascii="Arial" w:eastAsia="Arial" w:hAnsi="Arial" w:cs="Arial"/>
          <w:sz w:val="20"/>
          <w:szCs w:val="20"/>
          <w:lang w:val="tr-TR"/>
        </w:rPr>
        <w:t>segmentinde</w:t>
      </w:r>
      <w:proofErr w:type="spellEnd"/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194 bin </w:t>
      </w:r>
      <w:r w:rsidRPr="002B54AF">
        <w:rPr>
          <w:rFonts w:ascii="Arial" w:eastAsia="Arial" w:hAnsi="Arial" w:cs="Arial"/>
          <w:sz w:val="20"/>
          <w:szCs w:val="20"/>
          <w:lang w:val="tr-TR"/>
        </w:rPr>
        <w:t>703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adet satışla (</w:t>
      </w:r>
      <w:proofErr w:type="spellStart"/>
      <w:r w:rsidR="00DF16F3">
        <w:rPr>
          <w:rFonts w:ascii="Arial" w:eastAsia="Arial" w:hAnsi="Arial" w:cs="Arial"/>
          <w:sz w:val="20"/>
          <w:szCs w:val="20"/>
          <w:lang w:val="tr-TR"/>
        </w:rPr>
        <w:t>segmentin</w:t>
      </w:r>
      <w:proofErr w:type="spellEnd"/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yüzde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23,7’si) </w:t>
      </w:r>
      <w:proofErr w:type="spellStart"/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Captur</w:t>
      </w:r>
      <w:r>
        <w:rPr>
          <w:rFonts w:ascii="Arial" w:eastAsia="Arial" w:hAnsi="Arial" w:cs="Arial"/>
          <w:sz w:val="20"/>
          <w:szCs w:val="20"/>
          <w:lang w:val="tr-TR"/>
        </w:rPr>
        <w:t>’un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elde ettiği başarı sayesinde gerçekleşti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3E4EC5" w:rsidRPr="002B54AF" w:rsidRDefault="003E4EC5" w:rsidP="00831A69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831A69" w:rsidRPr="002B54AF" w:rsidRDefault="007771A0" w:rsidP="00831A69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2B54AF">
        <w:rPr>
          <w:rFonts w:ascii="Arial" w:eastAsia="Arial" w:hAnsi="Arial" w:cs="Arial"/>
          <w:sz w:val="20"/>
          <w:szCs w:val="20"/>
          <w:lang w:val="tr-TR"/>
        </w:rPr>
        <w:t>2015</w:t>
      </w:r>
      <w:r w:rsidR="003E4EC5">
        <w:rPr>
          <w:rFonts w:ascii="Arial" w:eastAsia="Arial" w:hAnsi="Arial" w:cs="Arial"/>
          <w:sz w:val="20"/>
          <w:szCs w:val="20"/>
          <w:lang w:val="tr-TR"/>
        </w:rPr>
        <w:t xml:space="preserve">’teki </w:t>
      </w:r>
      <w:proofErr w:type="spellStart"/>
      <w:r w:rsidR="003E4EC5">
        <w:rPr>
          <w:rFonts w:ascii="Arial" w:eastAsia="Arial" w:hAnsi="Arial" w:cs="Arial"/>
          <w:sz w:val="20"/>
          <w:szCs w:val="20"/>
          <w:lang w:val="tr-TR"/>
        </w:rPr>
        <w:t>lansmanlar</w:t>
      </w:r>
      <w:proofErr w:type="spellEnd"/>
      <w:r w:rsidR="003E4EC5">
        <w:rPr>
          <w:rFonts w:ascii="Arial" w:eastAsia="Arial" w:hAnsi="Arial" w:cs="Arial"/>
          <w:sz w:val="20"/>
          <w:szCs w:val="20"/>
          <w:lang w:val="tr-TR"/>
        </w:rPr>
        <w:t xml:space="preserve"> müşteri taleplerini de artırdı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: </w:t>
      </w:r>
      <w:proofErr w:type="gramStart"/>
      <w:r w:rsidR="00DF16F3">
        <w:rPr>
          <w:rFonts w:ascii="Arial" w:eastAsia="Arial" w:hAnsi="Arial" w:cs="Arial"/>
          <w:sz w:val="20"/>
          <w:szCs w:val="20"/>
          <w:lang w:val="tr-TR"/>
        </w:rPr>
        <w:t>Ha</w:t>
      </w:r>
      <w:r w:rsidR="003E4EC5">
        <w:rPr>
          <w:rFonts w:ascii="Arial" w:eastAsia="Arial" w:hAnsi="Arial" w:cs="Arial"/>
          <w:sz w:val="20"/>
          <w:szCs w:val="20"/>
          <w:lang w:val="tr-TR"/>
        </w:rPr>
        <w:t>lihazırda</w:t>
      </w:r>
      <w:proofErr w:type="gramEnd"/>
      <w:r w:rsidR="003E4EC5">
        <w:rPr>
          <w:rFonts w:ascii="Arial" w:eastAsia="Arial" w:hAnsi="Arial" w:cs="Arial"/>
          <w:sz w:val="20"/>
          <w:szCs w:val="20"/>
          <w:lang w:val="tr-TR"/>
        </w:rPr>
        <w:t xml:space="preserve"> 49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bin </w:t>
      </w:r>
      <w:r w:rsidR="00793002" w:rsidRPr="002B54AF">
        <w:rPr>
          <w:rFonts w:ascii="Arial" w:eastAsia="Arial" w:hAnsi="Arial" w:cs="Arial"/>
          <w:sz w:val="20"/>
          <w:szCs w:val="20"/>
          <w:lang w:val="tr-TR"/>
        </w:rPr>
        <w:t>016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E4EC5">
        <w:rPr>
          <w:rFonts w:ascii="Arial" w:eastAsia="Arial" w:hAnsi="Arial" w:cs="Arial"/>
          <w:sz w:val="20"/>
          <w:szCs w:val="20"/>
          <w:lang w:val="tr-TR"/>
        </w:rPr>
        <w:t xml:space="preserve">adet </w:t>
      </w:r>
      <w:proofErr w:type="spellStart"/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K</w:t>
      </w:r>
      <w:r w:rsidR="003E4EC5">
        <w:rPr>
          <w:rFonts w:ascii="Arial" w:eastAsia="Arial" w:hAnsi="Arial" w:cs="Arial"/>
          <w:sz w:val="20"/>
          <w:szCs w:val="20"/>
          <w:lang w:val="tr-TR"/>
        </w:rPr>
        <w:t>adjar</w:t>
      </w:r>
      <w:proofErr w:type="spellEnd"/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E4EC5">
        <w:rPr>
          <w:rFonts w:ascii="Arial" w:eastAsia="Arial" w:hAnsi="Arial" w:cs="Arial"/>
          <w:sz w:val="20"/>
          <w:szCs w:val="20"/>
          <w:lang w:val="tr-TR"/>
        </w:rPr>
        <w:t xml:space="preserve">satıldı ve Yeni </w:t>
      </w:r>
      <w:proofErr w:type="spellStart"/>
      <w:r w:rsidR="003E4EC5">
        <w:rPr>
          <w:rFonts w:ascii="Arial" w:eastAsia="Arial" w:hAnsi="Arial" w:cs="Arial"/>
          <w:sz w:val="20"/>
          <w:szCs w:val="20"/>
          <w:lang w:val="tr-TR"/>
        </w:rPr>
        <w:t>Espace</w:t>
      </w:r>
      <w:proofErr w:type="spellEnd"/>
      <w:r w:rsidR="003E4EC5">
        <w:rPr>
          <w:rFonts w:ascii="Arial" w:eastAsia="Arial" w:hAnsi="Arial" w:cs="Arial"/>
          <w:sz w:val="20"/>
          <w:szCs w:val="20"/>
          <w:lang w:val="tr-TR"/>
        </w:rPr>
        <w:t xml:space="preserve"> ise </w:t>
      </w:r>
      <w:r w:rsidR="00793002" w:rsidRPr="002B54AF">
        <w:rPr>
          <w:rFonts w:ascii="Arial" w:eastAsia="Arial" w:hAnsi="Arial" w:cs="Arial"/>
          <w:sz w:val="20"/>
          <w:szCs w:val="20"/>
          <w:lang w:val="tr-TR"/>
        </w:rPr>
        <w:t>20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bin </w:t>
      </w:r>
      <w:r w:rsidR="00793002" w:rsidRPr="002B54AF">
        <w:rPr>
          <w:rFonts w:ascii="Arial" w:eastAsia="Arial" w:hAnsi="Arial" w:cs="Arial"/>
          <w:sz w:val="20"/>
          <w:szCs w:val="20"/>
          <w:lang w:val="tr-TR"/>
        </w:rPr>
        <w:t>930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E4EC5">
        <w:rPr>
          <w:rFonts w:ascii="Arial" w:eastAsia="Arial" w:hAnsi="Arial" w:cs="Arial"/>
          <w:sz w:val="20"/>
          <w:szCs w:val="20"/>
          <w:lang w:val="tr-TR"/>
        </w:rPr>
        <w:t>adetlik satış gerçekleştirdi.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E4EC5">
        <w:rPr>
          <w:rFonts w:ascii="Arial" w:eastAsia="Arial" w:hAnsi="Arial" w:cs="Arial"/>
          <w:sz w:val="20"/>
          <w:szCs w:val="20"/>
          <w:lang w:val="tr-TR"/>
        </w:rPr>
        <w:t xml:space="preserve">Bu rakam, 2014 senesinin aynı döneminde bir önceki </w:t>
      </w:r>
      <w:proofErr w:type="gramStart"/>
      <w:r w:rsidR="003E4EC5">
        <w:rPr>
          <w:rFonts w:ascii="Arial" w:eastAsia="Arial" w:hAnsi="Arial" w:cs="Arial"/>
          <w:sz w:val="20"/>
          <w:szCs w:val="20"/>
          <w:lang w:val="tr-TR"/>
        </w:rPr>
        <w:t>versiyonuna</w:t>
      </w:r>
      <w:proofErr w:type="gramEnd"/>
      <w:r w:rsidR="003E4EC5">
        <w:rPr>
          <w:rFonts w:ascii="Arial" w:eastAsia="Arial" w:hAnsi="Arial" w:cs="Arial"/>
          <w:sz w:val="20"/>
          <w:szCs w:val="20"/>
          <w:lang w:val="tr-TR"/>
        </w:rPr>
        <w:t xml:space="preserve"> oranla üç kattan fazla bir artış anlamına geliyor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831A69" w:rsidRPr="002B54AF" w:rsidRDefault="00831A69" w:rsidP="00831A69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4A2DD1" w:rsidRPr="002B54AF" w:rsidRDefault="003E4EC5" w:rsidP="00A92E09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2C4CED">
        <w:rPr>
          <w:rFonts w:ascii="Arial" w:eastAsia="Arial" w:hAnsi="Arial" w:cs="Arial"/>
          <w:b/>
          <w:sz w:val="20"/>
          <w:szCs w:val="20"/>
          <w:lang w:val="tr-TR"/>
        </w:rPr>
        <w:t>Hafif Ticari Araç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tr-TR"/>
        </w:rPr>
        <w:t>pazarında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ise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Renault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markası </w:t>
      </w:r>
      <w:r w:rsidRPr="003E4EC5">
        <w:rPr>
          <w:rFonts w:ascii="Arial" w:hAnsi="Arial" w:cs="Arial"/>
          <w:bCs/>
          <w:sz w:val="20"/>
          <w:szCs w:val="20"/>
          <w:lang w:val="tr-TR"/>
        </w:rPr>
        <w:t xml:space="preserve">hafif ticari araç </w:t>
      </w:r>
      <w:proofErr w:type="spellStart"/>
      <w:r w:rsidRPr="003E4EC5">
        <w:rPr>
          <w:rFonts w:ascii="Arial" w:hAnsi="Arial" w:cs="Arial"/>
          <w:bCs/>
          <w:sz w:val="20"/>
          <w:szCs w:val="20"/>
          <w:lang w:val="tr-TR"/>
        </w:rPr>
        <w:t>segmentinde</w:t>
      </w:r>
      <w:proofErr w:type="spellEnd"/>
      <w:r w:rsidRPr="003E4EC5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r w:rsidRPr="003E4EC5">
        <w:rPr>
          <w:rFonts w:ascii="Arial" w:hAnsi="Arial" w:cs="Arial"/>
          <w:sz w:val="20"/>
          <w:szCs w:val="20"/>
          <w:lang w:val="tr-TR"/>
        </w:rPr>
        <w:t>18 yıldır elinde bulundurduğu liderliği sürdürdü</w:t>
      </w:r>
      <w:r>
        <w:rPr>
          <w:rFonts w:ascii="Arial" w:hAnsi="Arial" w:cs="Arial"/>
          <w:sz w:val="20"/>
          <w:szCs w:val="20"/>
          <w:lang w:val="tr-TR"/>
        </w:rPr>
        <w:t xml:space="preserve">. Bu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segmentte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269 bin </w:t>
      </w:r>
      <w:r w:rsidR="007771A0" w:rsidRPr="002B54AF">
        <w:rPr>
          <w:rFonts w:ascii="Arial" w:eastAsia="Arial" w:hAnsi="Arial" w:cs="Arial"/>
          <w:sz w:val="20"/>
          <w:szCs w:val="20"/>
          <w:lang w:val="tr-TR"/>
        </w:rPr>
        <w:t xml:space="preserve">203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adet satış gerçekleştirildi </w:t>
      </w:r>
      <w:r w:rsidR="007771A0" w:rsidRPr="002B54AF">
        <w:rPr>
          <w:rFonts w:ascii="Arial" w:eastAsia="Arial" w:hAnsi="Arial" w:cs="Arial"/>
          <w:sz w:val="20"/>
          <w:szCs w:val="20"/>
          <w:lang w:val="tr-TR"/>
        </w:rPr>
        <w:t>(+</w:t>
      </w:r>
      <w:r>
        <w:rPr>
          <w:rFonts w:ascii="Arial" w:eastAsia="Arial" w:hAnsi="Arial" w:cs="Arial"/>
          <w:sz w:val="20"/>
          <w:szCs w:val="20"/>
          <w:lang w:val="tr-TR"/>
        </w:rPr>
        <w:t>%</w:t>
      </w:r>
      <w:r w:rsidR="007771A0" w:rsidRPr="002B54AF">
        <w:rPr>
          <w:rFonts w:ascii="Arial" w:eastAsia="Arial" w:hAnsi="Arial" w:cs="Arial"/>
          <w:sz w:val="20"/>
          <w:szCs w:val="20"/>
          <w:lang w:val="tr-TR"/>
        </w:rPr>
        <w:t>16</w:t>
      </w:r>
      <w:r>
        <w:rPr>
          <w:rFonts w:ascii="Arial" w:eastAsia="Arial" w:hAnsi="Arial" w:cs="Arial"/>
          <w:sz w:val="20"/>
          <w:szCs w:val="20"/>
          <w:lang w:val="tr-TR"/>
        </w:rPr>
        <w:t>,</w:t>
      </w:r>
      <w:r w:rsidR="00C823F4" w:rsidRPr="002B54AF">
        <w:rPr>
          <w:rFonts w:ascii="Arial" w:eastAsia="Arial" w:hAnsi="Arial" w:cs="Arial"/>
          <w:sz w:val="20"/>
          <w:szCs w:val="20"/>
          <w:lang w:val="tr-TR"/>
        </w:rPr>
        <w:t>9</w:t>
      </w:r>
      <w:r>
        <w:rPr>
          <w:rFonts w:ascii="Arial" w:eastAsia="Arial" w:hAnsi="Arial" w:cs="Arial"/>
          <w:sz w:val="20"/>
          <w:szCs w:val="20"/>
          <w:lang w:val="tr-TR"/>
        </w:rPr>
        <w:t xml:space="preserve">)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ve pazar payında 0,7 puanlık artış gerçekleşti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A92E09" w:rsidRPr="002B54AF" w:rsidRDefault="00A92E09" w:rsidP="00A92E09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A92E09" w:rsidRPr="002B54AF" w:rsidRDefault="003E4EC5" w:rsidP="00A92E09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>A</w:t>
      </w:r>
      <w:r w:rsidR="00DF16F3">
        <w:rPr>
          <w:rFonts w:ascii="Arial" w:eastAsia="Arial" w:hAnsi="Arial" w:cs="Arial"/>
          <w:sz w:val="20"/>
          <w:szCs w:val="20"/>
          <w:lang w:val="tr-TR"/>
        </w:rPr>
        <w:t>vrupa’da pazara girişinin 10.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senesinde </w:t>
      </w:r>
      <w:r w:rsidR="00130D09" w:rsidRPr="002B54AF">
        <w:rPr>
          <w:rFonts w:ascii="Arial" w:eastAsia="Arial" w:hAnsi="Arial" w:cs="Arial"/>
          <w:b/>
          <w:sz w:val="20"/>
          <w:szCs w:val="20"/>
          <w:lang w:val="tr-TR"/>
        </w:rPr>
        <w:t xml:space="preserve">Dacia </w:t>
      </w:r>
      <w:r>
        <w:rPr>
          <w:rFonts w:ascii="Arial" w:eastAsia="Arial" w:hAnsi="Arial" w:cs="Arial"/>
          <w:b/>
          <w:sz w:val="20"/>
          <w:szCs w:val="20"/>
          <w:lang w:val="tr-TR"/>
        </w:rPr>
        <w:t xml:space="preserve">markası </w:t>
      </w:r>
      <w:r w:rsidR="00DF16F3">
        <w:rPr>
          <w:rFonts w:ascii="Arial" w:eastAsia="Arial" w:hAnsi="Arial" w:cs="Arial"/>
          <w:sz w:val="20"/>
          <w:szCs w:val="20"/>
          <w:lang w:val="tr-TR"/>
        </w:rPr>
        <w:t>satışlarını 2015’de arttırmaya devam etti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B010B" w:rsidRPr="002B54AF">
        <w:rPr>
          <w:rFonts w:ascii="Arial" w:eastAsia="Arial" w:hAnsi="Arial" w:cs="Arial"/>
          <w:sz w:val="20"/>
          <w:szCs w:val="20"/>
          <w:lang w:val="tr-TR"/>
        </w:rPr>
        <w:t>(+</w:t>
      </w:r>
      <w:r w:rsidR="003B010B">
        <w:rPr>
          <w:rFonts w:ascii="Arial" w:eastAsia="Arial" w:hAnsi="Arial" w:cs="Arial"/>
          <w:sz w:val="20"/>
          <w:szCs w:val="20"/>
          <w:lang w:val="tr-TR"/>
        </w:rPr>
        <w:t>%3.6</w:t>
      </w:r>
      <w:r w:rsidR="003B010B" w:rsidRPr="002B54AF">
        <w:rPr>
          <w:rFonts w:ascii="Arial" w:eastAsia="Arial" w:hAnsi="Arial" w:cs="Arial"/>
          <w:sz w:val="20"/>
          <w:szCs w:val="20"/>
          <w:lang w:val="tr-TR"/>
        </w:rPr>
        <w:t>)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ve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374 bin </w:t>
      </w:r>
      <w:r w:rsidR="00F039DB" w:rsidRPr="002B54AF">
        <w:rPr>
          <w:rFonts w:ascii="Arial" w:eastAsia="Arial" w:hAnsi="Arial" w:cs="Arial"/>
          <w:sz w:val="20"/>
          <w:szCs w:val="20"/>
          <w:lang w:val="tr-TR"/>
        </w:rPr>
        <w:t>458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 adetlik rekor satış düzeyine ulaştı.</w:t>
      </w:r>
    </w:p>
    <w:p w:rsidR="0099175E" w:rsidRPr="002B54AF" w:rsidRDefault="0099175E" w:rsidP="00831A69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C948A7" w:rsidRPr="002B54AF" w:rsidRDefault="003736F6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2B54AF">
        <w:rPr>
          <w:rFonts w:ascii="Arial" w:eastAsia="Arial" w:hAnsi="Arial" w:cs="Arial"/>
          <w:sz w:val="20"/>
          <w:szCs w:val="20"/>
          <w:lang w:val="tr-TR"/>
        </w:rPr>
        <w:t>Renault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 Avrupa’daki </w:t>
      </w:r>
      <w:r w:rsidR="00DF16F3">
        <w:rPr>
          <w:rFonts w:ascii="Arial" w:eastAsia="Arial" w:hAnsi="Arial" w:cs="Arial"/>
          <w:b/>
          <w:sz w:val="20"/>
          <w:szCs w:val="20"/>
          <w:lang w:val="tr-TR"/>
        </w:rPr>
        <w:t>elektrik motorlu</w:t>
      </w:r>
      <w:r w:rsidR="003B010B" w:rsidRPr="003B010B">
        <w:rPr>
          <w:rFonts w:ascii="Arial" w:eastAsia="Arial" w:hAnsi="Arial" w:cs="Arial"/>
          <w:b/>
          <w:sz w:val="20"/>
          <w:szCs w:val="20"/>
          <w:lang w:val="tr-TR"/>
        </w:rPr>
        <w:t xml:space="preserve"> araç pazarının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 da lideri konumunda.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Grubun satışları hızla artıyor </w:t>
      </w:r>
      <w:r w:rsidR="00234354" w:rsidRPr="002B54AF">
        <w:rPr>
          <w:rFonts w:ascii="Arial" w:eastAsia="Arial" w:hAnsi="Arial" w:cs="Arial"/>
          <w:sz w:val="20"/>
          <w:szCs w:val="20"/>
          <w:lang w:val="tr-TR"/>
        </w:rPr>
        <w:t>(+</w:t>
      </w:r>
      <w:r w:rsidR="003B010B">
        <w:rPr>
          <w:rFonts w:ascii="Arial" w:eastAsia="Arial" w:hAnsi="Arial" w:cs="Arial"/>
          <w:sz w:val="20"/>
          <w:szCs w:val="20"/>
          <w:lang w:val="tr-TR"/>
        </w:rPr>
        <w:t>%49</w:t>
      </w:r>
      <w:r w:rsidR="00234354" w:rsidRPr="002B54AF">
        <w:rPr>
          <w:rFonts w:ascii="Arial" w:eastAsia="Arial" w:hAnsi="Arial" w:cs="Arial"/>
          <w:sz w:val="20"/>
          <w:szCs w:val="20"/>
          <w:lang w:val="tr-TR"/>
        </w:rPr>
        <w:t xml:space="preserve">)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ve </w:t>
      </w:r>
      <w:proofErr w:type="spellStart"/>
      <w:r w:rsidR="00DF16F3">
        <w:rPr>
          <w:rFonts w:ascii="Arial" w:eastAsia="Arial" w:hAnsi="Arial" w:cs="Arial"/>
          <w:sz w:val="20"/>
          <w:szCs w:val="20"/>
          <w:lang w:val="tr-TR"/>
        </w:rPr>
        <w:t>Twizy</w:t>
      </w:r>
      <w:proofErr w:type="spellEnd"/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hariç 23 bin </w:t>
      </w:r>
      <w:r w:rsidR="00234354" w:rsidRPr="002B54AF">
        <w:rPr>
          <w:rFonts w:ascii="Arial" w:eastAsia="Arial" w:hAnsi="Arial" w:cs="Arial"/>
          <w:sz w:val="20"/>
          <w:szCs w:val="20"/>
          <w:lang w:val="tr-TR"/>
        </w:rPr>
        <w:t>08</w:t>
      </w:r>
      <w:r w:rsidR="00ED3E01" w:rsidRPr="002B54AF">
        <w:rPr>
          <w:rFonts w:ascii="Arial" w:eastAsia="Arial" w:hAnsi="Arial" w:cs="Arial"/>
          <w:sz w:val="20"/>
          <w:szCs w:val="20"/>
          <w:lang w:val="tr-TR"/>
        </w:rPr>
        <w:t>6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B010B">
        <w:rPr>
          <w:rFonts w:ascii="Arial" w:eastAsia="Arial" w:hAnsi="Arial" w:cs="Arial"/>
          <w:sz w:val="20"/>
          <w:szCs w:val="20"/>
          <w:lang w:val="tr-TR"/>
        </w:rPr>
        <w:t>adet araca erişmiş durumda.</w:t>
      </w:r>
      <w:r w:rsidR="00234354" w:rsidRPr="002B54AF">
        <w:rPr>
          <w:rFonts w:ascii="Arial" w:eastAsia="Arial" w:hAnsi="Arial" w:cs="Arial"/>
          <w:sz w:val="20"/>
          <w:szCs w:val="20"/>
          <w:lang w:val="tr-TR"/>
        </w:rPr>
        <w:t xml:space="preserve"> ZOE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ise sene boyunca 18 bin </w:t>
      </w:r>
      <w:r w:rsidR="003B010B" w:rsidRPr="002B54AF">
        <w:rPr>
          <w:rFonts w:ascii="Arial" w:eastAsia="Arial" w:hAnsi="Arial" w:cs="Arial"/>
          <w:sz w:val="20"/>
          <w:szCs w:val="20"/>
          <w:lang w:val="tr-TR"/>
        </w:rPr>
        <w:t xml:space="preserve">453 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adet satışla </w:t>
      </w:r>
      <w:r w:rsidR="003B010B" w:rsidRPr="002B54AF">
        <w:rPr>
          <w:rFonts w:ascii="Arial" w:eastAsia="Arial" w:hAnsi="Arial" w:cs="Arial"/>
          <w:sz w:val="20"/>
          <w:szCs w:val="20"/>
          <w:lang w:val="tr-TR"/>
        </w:rPr>
        <w:t>(+</w:t>
      </w:r>
      <w:r w:rsidR="003B010B">
        <w:rPr>
          <w:rFonts w:ascii="Arial" w:eastAsia="Arial" w:hAnsi="Arial" w:cs="Arial"/>
          <w:sz w:val="20"/>
          <w:szCs w:val="20"/>
          <w:lang w:val="tr-TR"/>
        </w:rPr>
        <w:t>%</w:t>
      </w:r>
      <w:r w:rsidR="003B010B" w:rsidRPr="002B54AF">
        <w:rPr>
          <w:rFonts w:ascii="Arial" w:eastAsia="Arial" w:hAnsi="Arial" w:cs="Arial"/>
          <w:sz w:val="20"/>
          <w:szCs w:val="20"/>
          <w:lang w:val="tr-TR"/>
        </w:rPr>
        <w:t>68)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 binek otomobil pazarında lider oldu</w:t>
      </w:r>
      <w:r w:rsidRPr="002B54AF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6F7C13" w:rsidRPr="002B54AF" w:rsidRDefault="006F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8307F8" w:rsidRPr="002B54AF" w:rsidRDefault="003736F6" w:rsidP="008307F8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2B54AF">
        <w:rPr>
          <w:rFonts w:ascii="Arial" w:eastAsia="Arial" w:hAnsi="Arial" w:cs="Arial"/>
          <w:b/>
          <w:sz w:val="20"/>
          <w:szCs w:val="20"/>
          <w:lang w:val="tr-TR"/>
        </w:rPr>
        <w:t>Fran</w:t>
      </w:r>
      <w:r w:rsidR="003B010B">
        <w:rPr>
          <w:rFonts w:ascii="Arial" w:eastAsia="Arial" w:hAnsi="Arial" w:cs="Arial"/>
          <w:b/>
          <w:sz w:val="20"/>
          <w:szCs w:val="20"/>
          <w:lang w:val="tr-TR"/>
        </w:rPr>
        <w:t>sa’da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Renault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 lider otomotiv markası olarak konumunu pekiştirdi. </w:t>
      </w:r>
      <w:proofErr w:type="spellStart"/>
      <w:r w:rsidR="003B010B">
        <w:rPr>
          <w:rFonts w:ascii="Arial" w:eastAsia="Arial" w:hAnsi="Arial" w:cs="Arial"/>
          <w:sz w:val="20"/>
          <w:szCs w:val="20"/>
          <w:lang w:val="tr-TR"/>
        </w:rPr>
        <w:t>Clio</w:t>
      </w:r>
      <w:proofErr w:type="spellEnd"/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ise üst üste 6.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 senesinde de en çok satan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model </w:t>
      </w:r>
      <w:r w:rsidR="003B010B">
        <w:rPr>
          <w:rFonts w:ascii="Arial" w:eastAsia="Arial" w:hAnsi="Arial" w:cs="Arial"/>
          <w:sz w:val="20"/>
          <w:szCs w:val="20"/>
          <w:lang w:val="tr-TR"/>
        </w:rPr>
        <w:t>olmaya devam etti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proofErr w:type="spellStart"/>
      <w:r w:rsidRPr="002B54AF">
        <w:rPr>
          <w:rFonts w:ascii="Arial" w:eastAsia="Arial" w:hAnsi="Arial" w:cs="Arial"/>
          <w:sz w:val="20"/>
          <w:szCs w:val="20"/>
          <w:lang w:val="tr-TR"/>
        </w:rPr>
        <w:t>Clio</w:t>
      </w:r>
      <w:proofErr w:type="spellEnd"/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, </w:t>
      </w:r>
      <w:proofErr w:type="spellStart"/>
      <w:r w:rsidR="003B010B">
        <w:rPr>
          <w:rFonts w:ascii="Arial" w:eastAsia="Arial" w:hAnsi="Arial" w:cs="Arial"/>
          <w:sz w:val="20"/>
          <w:szCs w:val="20"/>
          <w:lang w:val="tr-TR"/>
        </w:rPr>
        <w:t>Captur</w:t>
      </w:r>
      <w:proofErr w:type="spellEnd"/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, </w:t>
      </w:r>
      <w:proofErr w:type="spellStart"/>
      <w:r w:rsidR="003B010B">
        <w:rPr>
          <w:rFonts w:ascii="Arial" w:eastAsia="Arial" w:hAnsi="Arial" w:cs="Arial"/>
          <w:sz w:val="20"/>
          <w:szCs w:val="20"/>
          <w:lang w:val="tr-TR"/>
        </w:rPr>
        <w:t>Twingo</w:t>
      </w:r>
      <w:proofErr w:type="spellEnd"/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 ve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Pr="002B54AF">
        <w:rPr>
          <w:rFonts w:ascii="Arial" w:eastAsia="Arial" w:hAnsi="Arial" w:cs="Arial"/>
          <w:sz w:val="20"/>
          <w:szCs w:val="20"/>
          <w:lang w:val="tr-TR"/>
        </w:rPr>
        <w:t>Espace</w:t>
      </w:r>
      <w:proofErr w:type="spellEnd"/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ise kendi pazar </w:t>
      </w:r>
      <w:proofErr w:type="spellStart"/>
      <w:r w:rsidR="003B010B">
        <w:rPr>
          <w:rFonts w:ascii="Arial" w:eastAsia="Arial" w:hAnsi="Arial" w:cs="Arial"/>
          <w:sz w:val="20"/>
          <w:szCs w:val="20"/>
          <w:lang w:val="tr-TR"/>
        </w:rPr>
        <w:t>segmentlerinde</w:t>
      </w:r>
      <w:proofErr w:type="spellEnd"/>
      <w:r w:rsidR="003B010B">
        <w:rPr>
          <w:rFonts w:ascii="Arial" w:eastAsia="Arial" w:hAnsi="Arial" w:cs="Arial"/>
          <w:sz w:val="20"/>
          <w:szCs w:val="20"/>
          <w:lang w:val="tr-TR"/>
        </w:rPr>
        <w:t xml:space="preserve"> lider pozisyondalar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proofErr w:type="spellStart"/>
      <w:r w:rsidR="003B010B">
        <w:rPr>
          <w:rFonts w:ascii="Arial" w:eastAsia="Arial" w:hAnsi="Arial" w:cs="Arial"/>
          <w:sz w:val="20"/>
          <w:szCs w:val="20"/>
          <w:lang w:val="tr-TR"/>
        </w:rPr>
        <w:t>Trafic</w:t>
      </w:r>
      <w:proofErr w:type="spellEnd"/>
      <w:r w:rsidR="003B010B">
        <w:rPr>
          <w:rFonts w:ascii="Arial" w:eastAsia="Arial" w:hAnsi="Arial" w:cs="Arial"/>
          <w:sz w:val="20"/>
          <w:szCs w:val="20"/>
          <w:lang w:val="tr-TR"/>
        </w:rPr>
        <w:t>, Master ve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Pr="002B54AF">
        <w:rPr>
          <w:rFonts w:ascii="Arial" w:eastAsia="Arial" w:hAnsi="Arial" w:cs="Arial"/>
          <w:sz w:val="20"/>
          <w:szCs w:val="20"/>
          <w:lang w:val="tr-TR"/>
        </w:rPr>
        <w:t>Kangoo</w:t>
      </w:r>
      <w:proofErr w:type="spellEnd"/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hafif ticari modelleri de </w:t>
      </w:r>
      <w:r w:rsidR="00300C13">
        <w:rPr>
          <w:rFonts w:ascii="Arial" w:eastAsia="Arial" w:hAnsi="Arial" w:cs="Arial"/>
          <w:sz w:val="20"/>
          <w:szCs w:val="20"/>
          <w:lang w:val="tr-TR"/>
        </w:rPr>
        <w:t xml:space="preserve">kendi </w:t>
      </w:r>
      <w:proofErr w:type="spellStart"/>
      <w:r w:rsidR="00300C13">
        <w:rPr>
          <w:rFonts w:ascii="Arial" w:eastAsia="Arial" w:hAnsi="Arial" w:cs="Arial"/>
          <w:sz w:val="20"/>
          <w:szCs w:val="20"/>
          <w:lang w:val="tr-TR"/>
        </w:rPr>
        <w:t>segmentlerinde</w:t>
      </w:r>
      <w:proofErr w:type="spellEnd"/>
      <w:r w:rsidR="00300C13">
        <w:rPr>
          <w:rFonts w:ascii="Arial" w:eastAsia="Arial" w:hAnsi="Arial" w:cs="Arial"/>
          <w:sz w:val="20"/>
          <w:szCs w:val="20"/>
          <w:lang w:val="tr-TR"/>
        </w:rPr>
        <w:t xml:space="preserve"> zirvede yer alıyorlar</w:t>
      </w:r>
      <w:r w:rsidR="00234354" w:rsidRPr="002B54AF">
        <w:rPr>
          <w:rFonts w:ascii="Arial" w:eastAsia="Arial" w:hAnsi="Arial" w:cs="Arial"/>
          <w:sz w:val="20"/>
          <w:szCs w:val="20"/>
          <w:lang w:val="tr-TR"/>
        </w:rPr>
        <w:t>. ZOE</w:t>
      </w:r>
      <w:r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00C13">
        <w:rPr>
          <w:rFonts w:ascii="Arial" w:eastAsia="Arial" w:hAnsi="Arial" w:cs="Arial"/>
          <w:sz w:val="20"/>
          <w:szCs w:val="20"/>
          <w:lang w:val="tr-TR"/>
        </w:rPr>
        <w:t>modeli elektri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k motorlu binek otomobil pazarının yüzde </w:t>
      </w:r>
      <w:r w:rsidR="00300C13">
        <w:rPr>
          <w:rFonts w:ascii="Arial" w:eastAsia="Arial" w:hAnsi="Arial" w:cs="Arial"/>
          <w:sz w:val="20"/>
          <w:szCs w:val="20"/>
          <w:lang w:val="tr-TR"/>
        </w:rPr>
        <w:t>60’ını elinde bulunduruyor</w:t>
      </w:r>
      <w:r w:rsidRPr="002B54AF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073209" w:rsidRPr="002B54AF" w:rsidRDefault="00073209" w:rsidP="003C107B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DF1EA3" w:rsidRPr="002B54AF" w:rsidRDefault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DF1EA3" w:rsidRPr="002B54AF" w:rsidRDefault="00CA31DB">
      <w:pPr>
        <w:spacing w:after="0" w:line="250" w:lineRule="auto"/>
        <w:ind w:left="1349" w:right="90"/>
        <w:jc w:val="both"/>
        <w:rPr>
          <w:rFonts w:ascii="Arial" w:eastAsia="Arial" w:hAnsi="Arial" w:cs="Arial"/>
          <w:b/>
          <w:sz w:val="26"/>
          <w:szCs w:val="26"/>
          <w:lang w:val="tr-TR"/>
        </w:rPr>
      </w:pPr>
      <w:r w:rsidRPr="002B54AF">
        <w:rPr>
          <w:rFonts w:ascii="Arial" w:eastAsia="Arial" w:hAnsi="Arial" w:cs="Arial"/>
          <w:b/>
          <w:sz w:val="26"/>
          <w:szCs w:val="26"/>
          <w:lang w:val="tr-TR"/>
        </w:rPr>
        <w:t>RENAULT</w:t>
      </w:r>
      <w:r w:rsidR="003736F6" w:rsidRPr="002B54AF">
        <w:rPr>
          <w:rFonts w:ascii="Arial" w:eastAsia="Arial" w:hAnsi="Arial" w:cs="Arial"/>
          <w:b/>
          <w:sz w:val="26"/>
          <w:szCs w:val="26"/>
          <w:lang w:val="tr-TR"/>
        </w:rPr>
        <w:t xml:space="preserve"> </w:t>
      </w:r>
      <w:r w:rsidR="00300C13">
        <w:rPr>
          <w:rFonts w:ascii="Arial" w:eastAsia="Arial" w:hAnsi="Arial" w:cs="Arial"/>
          <w:b/>
          <w:sz w:val="26"/>
          <w:szCs w:val="26"/>
          <w:lang w:val="tr-TR"/>
        </w:rPr>
        <w:t>GRUBU ULUSLARARASI DÜZEYDE İSTİKRARINI DEVAM ETTİRDİ</w:t>
      </w:r>
    </w:p>
    <w:p w:rsidR="00DF1EA3" w:rsidRPr="002B54AF" w:rsidRDefault="00DF1EA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CD62C2" w:rsidRPr="002B54AF" w:rsidRDefault="001F676F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Ülkelere ve bölgelere göre değişiklik gösteren ekonomik durumlara rağmen uluslararası düzeyde </w:t>
      </w:r>
      <w:r w:rsidR="00CA31DB" w:rsidRPr="002B54AF">
        <w:rPr>
          <w:rFonts w:ascii="Arial" w:eastAsia="Arial" w:hAnsi="Arial" w:cs="Arial"/>
          <w:sz w:val="20"/>
          <w:szCs w:val="20"/>
          <w:lang w:val="tr-TR"/>
        </w:rPr>
        <w:t>Renault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Grubu istikrarını sürdürmeye devam etti ve hatta pozisyonunu güçlendirdi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</w:p>
    <w:p w:rsidR="0099175E" w:rsidRPr="002B54AF" w:rsidRDefault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</w:t>
      </w:r>
    </w:p>
    <w:p w:rsidR="00BB5E11" w:rsidRPr="002B54AF" w:rsidRDefault="001F676F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1F676F">
        <w:rPr>
          <w:rFonts w:ascii="Arial" w:eastAsia="Arial" w:hAnsi="Arial" w:cs="Arial"/>
          <w:b/>
          <w:sz w:val="20"/>
          <w:szCs w:val="20"/>
          <w:lang w:val="tr-TR"/>
        </w:rPr>
        <w:t>Avrasya’da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Gr</w:t>
      </w:r>
      <w:r>
        <w:rPr>
          <w:rFonts w:ascii="Arial" w:eastAsia="Arial" w:hAnsi="Arial" w:cs="Arial"/>
          <w:sz w:val="20"/>
          <w:szCs w:val="20"/>
          <w:lang w:val="tr-TR"/>
        </w:rPr>
        <w:t xml:space="preserve">ubun 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pazar payı 1,6 puanlık artışla yüzde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11.</w:t>
      </w:r>
      <w:r w:rsidR="00ED3E01" w:rsidRPr="002B54AF">
        <w:rPr>
          <w:rFonts w:ascii="Arial" w:eastAsia="Arial" w:hAnsi="Arial" w:cs="Arial"/>
          <w:sz w:val="20"/>
          <w:szCs w:val="20"/>
          <w:lang w:val="tr-TR"/>
        </w:rPr>
        <w:t>9</w:t>
      </w:r>
      <w:r>
        <w:rPr>
          <w:rFonts w:ascii="Arial" w:eastAsia="Arial" w:hAnsi="Arial" w:cs="Arial"/>
          <w:sz w:val="20"/>
          <w:szCs w:val="20"/>
          <w:lang w:val="tr-TR"/>
        </w:rPr>
        <w:t>’a ulaştı.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Grubun özellikle de Türkiye’de elde </w:t>
      </w:r>
      <w:r w:rsidRPr="00D8068F">
        <w:rPr>
          <w:rFonts w:ascii="Arial" w:eastAsia="Arial" w:hAnsi="Arial" w:cs="Arial"/>
          <w:sz w:val="20"/>
          <w:szCs w:val="20"/>
          <w:lang w:val="tr-TR"/>
        </w:rPr>
        <w:t xml:space="preserve">ettiği ivme sayesinde </w:t>
      </w:r>
      <w:r w:rsidR="003736F6" w:rsidRPr="00D8068F">
        <w:rPr>
          <w:rFonts w:ascii="Arial" w:eastAsia="Arial" w:hAnsi="Arial" w:cs="Arial"/>
          <w:sz w:val="20"/>
          <w:szCs w:val="20"/>
          <w:lang w:val="tr-TR"/>
        </w:rPr>
        <w:t>(+</w:t>
      </w:r>
      <w:r w:rsidRPr="00D8068F">
        <w:rPr>
          <w:rFonts w:ascii="Arial" w:eastAsia="Arial" w:hAnsi="Arial" w:cs="Arial"/>
          <w:sz w:val="20"/>
          <w:szCs w:val="20"/>
          <w:lang w:val="tr-TR"/>
        </w:rPr>
        <w:t>%</w:t>
      </w:r>
      <w:r w:rsidR="003736F6" w:rsidRPr="00D8068F">
        <w:rPr>
          <w:rFonts w:ascii="Arial" w:eastAsia="Arial" w:hAnsi="Arial" w:cs="Arial"/>
          <w:sz w:val="20"/>
          <w:szCs w:val="20"/>
          <w:lang w:val="tr-TR"/>
        </w:rPr>
        <w:t>2</w:t>
      </w:r>
      <w:r w:rsidR="00ED3E01" w:rsidRPr="00D8068F">
        <w:rPr>
          <w:rFonts w:ascii="Arial" w:eastAsia="Arial" w:hAnsi="Arial" w:cs="Arial"/>
          <w:sz w:val="20"/>
          <w:szCs w:val="20"/>
          <w:lang w:val="tr-TR"/>
        </w:rPr>
        <w:t>1.7</w:t>
      </w:r>
      <w:r w:rsidRPr="00D8068F">
        <w:rPr>
          <w:rFonts w:ascii="Arial" w:eastAsia="Arial" w:hAnsi="Arial" w:cs="Arial"/>
          <w:sz w:val="20"/>
          <w:szCs w:val="20"/>
          <w:lang w:val="tr-TR"/>
        </w:rPr>
        <w:t>) yeni satış rekorları kırıldı</w:t>
      </w:r>
      <w:r w:rsidR="003736F6" w:rsidRPr="00D8068F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 w:rsidR="00DF16F3" w:rsidRPr="00D8068F">
        <w:rPr>
          <w:rFonts w:ascii="Arial" w:eastAsia="Arial" w:hAnsi="Arial" w:cs="Arial"/>
          <w:sz w:val="20"/>
          <w:szCs w:val="20"/>
          <w:lang w:val="tr-TR"/>
        </w:rPr>
        <w:t xml:space="preserve">Söz konusu büyüme, pazarın yüzde </w:t>
      </w:r>
      <w:r w:rsidRPr="00D8068F">
        <w:rPr>
          <w:rFonts w:ascii="Arial" w:eastAsia="Arial" w:hAnsi="Arial" w:cs="Arial"/>
          <w:sz w:val="20"/>
          <w:szCs w:val="20"/>
          <w:lang w:val="tr-TR"/>
        </w:rPr>
        <w:t>35’ten fazla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gerilediği Rusya’daki ekonomik krizin sonuçlarını bertaraf etmiş oldu. </w:t>
      </w:r>
      <w:proofErr w:type="spellStart"/>
      <w:r>
        <w:rPr>
          <w:rFonts w:ascii="Arial" w:eastAsia="Arial" w:hAnsi="Arial" w:cs="Arial"/>
          <w:sz w:val="20"/>
          <w:szCs w:val="20"/>
          <w:lang w:val="tr-TR"/>
        </w:rPr>
        <w:t>Re</w:t>
      </w:r>
      <w:r w:rsidR="00DF16F3">
        <w:rPr>
          <w:rFonts w:ascii="Arial" w:eastAsia="Arial" w:hAnsi="Arial" w:cs="Arial"/>
          <w:sz w:val="20"/>
          <w:szCs w:val="20"/>
          <w:lang w:val="tr-TR"/>
        </w:rPr>
        <w:t>nault’nun</w:t>
      </w:r>
      <w:proofErr w:type="spellEnd"/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 Rusya’daki satışları yüzde </w:t>
      </w:r>
      <w:r w:rsidR="00ED3E01" w:rsidRPr="002B54AF">
        <w:rPr>
          <w:rFonts w:ascii="Arial" w:eastAsia="Arial" w:hAnsi="Arial" w:cs="Arial"/>
          <w:sz w:val="20"/>
          <w:szCs w:val="20"/>
          <w:lang w:val="tr-TR"/>
        </w:rPr>
        <w:t>38.1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oranında düşmüştü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Pazar payı ise </w:t>
      </w:r>
      <w:proofErr w:type="gramStart"/>
      <w:r>
        <w:rPr>
          <w:rFonts w:ascii="Arial" w:eastAsia="Arial" w:hAnsi="Arial" w:cs="Arial"/>
          <w:sz w:val="20"/>
          <w:szCs w:val="20"/>
          <w:lang w:val="tr-TR"/>
        </w:rPr>
        <w:t>marjların</w:t>
      </w:r>
      <w:proofErr w:type="gramEnd"/>
      <w:r>
        <w:rPr>
          <w:rFonts w:ascii="Arial" w:eastAsia="Arial" w:hAnsi="Arial" w:cs="Arial"/>
          <w:sz w:val="20"/>
          <w:szCs w:val="20"/>
          <w:lang w:val="tr-TR"/>
        </w:rPr>
        <w:t xml:space="preserve"> k</w:t>
      </w:r>
      <w:r w:rsidR="00B961D0">
        <w:rPr>
          <w:rFonts w:ascii="Arial" w:eastAsia="Arial" w:hAnsi="Arial" w:cs="Arial"/>
          <w:sz w:val="20"/>
          <w:szCs w:val="20"/>
          <w:lang w:val="tr-TR"/>
        </w:rPr>
        <w:t>o</w:t>
      </w:r>
      <w:r>
        <w:rPr>
          <w:rFonts w:ascii="Arial" w:eastAsia="Arial" w:hAnsi="Arial" w:cs="Arial"/>
          <w:sz w:val="20"/>
          <w:szCs w:val="20"/>
          <w:lang w:val="tr-TR"/>
        </w:rPr>
        <w:t>runmas</w:t>
      </w:r>
      <w:r w:rsidR="00DF16F3">
        <w:rPr>
          <w:rFonts w:ascii="Arial" w:eastAsia="Arial" w:hAnsi="Arial" w:cs="Arial"/>
          <w:sz w:val="20"/>
          <w:szCs w:val="20"/>
          <w:lang w:val="tr-TR"/>
        </w:rPr>
        <w:t xml:space="preserve">ına yönelik politika sayesinde yüzde </w:t>
      </w:r>
      <w:r>
        <w:rPr>
          <w:rFonts w:ascii="Arial" w:eastAsia="Arial" w:hAnsi="Arial" w:cs="Arial"/>
          <w:sz w:val="20"/>
          <w:szCs w:val="20"/>
          <w:lang w:val="tr-TR"/>
        </w:rPr>
        <w:t>7,5’te sabitlendi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</w:p>
    <w:p w:rsidR="001A24E5" w:rsidRPr="002B54AF" w:rsidRDefault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</w:t>
      </w:r>
    </w:p>
    <w:p w:rsidR="00F21C96" w:rsidRPr="002B54AF" w:rsidRDefault="00B961D0" w:rsidP="00E477F5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b/>
          <w:sz w:val="20"/>
          <w:szCs w:val="20"/>
          <w:lang w:val="tr-TR"/>
        </w:rPr>
        <w:t>Afrik</w:t>
      </w:r>
      <w:r w:rsidR="003736F6" w:rsidRPr="002B54AF">
        <w:rPr>
          <w:rFonts w:ascii="Arial" w:eastAsia="Arial" w:hAnsi="Arial" w:cs="Arial"/>
          <w:b/>
          <w:sz w:val="20"/>
          <w:szCs w:val="20"/>
          <w:lang w:val="tr-TR"/>
        </w:rPr>
        <w:t xml:space="preserve">a, </w:t>
      </w:r>
      <w:r>
        <w:rPr>
          <w:rFonts w:ascii="Arial" w:eastAsia="Arial" w:hAnsi="Arial" w:cs="Arial"/>
          <w:b/>
          <w:sz w:val="20"/>
          <w:szCs w:val="20"/>
          <w:lang w:val="tr-TR"/>
        </w:rPr>
        <w:t>Orta Doğu</w:t>
      </w:r>
      <w:r w:rsidR="003736F6" w:rsidRPr="002B54AF">
        <w:rPr>
          <w:rFonts w:ascii="Arial" w:eastAsia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tr-TR"/>
        </w:rPr>
        <w:t xml:space="preserve">ve Hindistan </w:t>
      </w:r>
      <w:r>
        <w:rPr>
          <w:rFonts w:ascii="Arial" w:eastAsia="Arial" w:hAnsi="Arial" w:cs="Arial"/>
          <w:sz w:val="20"/>
          <w:szCs w:val="20"/>
          <w:lang w:val="tr-TR"/>
        </w:rPr>
        <w:t>bölges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inde Grubun satışları yaklaşık yüzde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17 oranında arttı ve pazar payı </w:t>
      </w:r>
      <w:r w:rsidR="00E477F5" w:rsidRPr="00E477F5">
        <w:rPr>
          <w:rFonts w:ascii="Arial" w:eastAsia="Arial" w:hAnsi="Arial" w:cs="Arial"/>
          <w:b/>
          <w:sz w:val="20"/>
          <w:szCs w:val="20"/>
          <w:lang w:val="tr-TR"/>
        </w:rPr>
        <w:t>yüzde</w:t>
      </w:r>
      <w:r w:rsidR="00E477F5">
        <w:rPr>
          <w:rFonts w:ascii="Arial" w:eastAsia="Arial" w:hAnsi="Arial" w:cs="Arial"/>
          <w:b/>
          <w:sz w:val="20"/>
          <w:szCs w:val="20"/>
          <w:lang w:val="tr-TR"/>
        </w:rPr>
        <w:t xml:space="preserve"> </w:t>
      </w:r>
      <w:r w:rsidR="00E5063E" w:rsidRPr="002B54AF">
        <w:rPr>
          <w:rFonts w:ascii="Arial" w:eastAsia="Arial" w:hAnsi="Arial" w:cs="Arial"/>
          <w:sz w:val="20"/>
          <w:szCs w:val="20"/>
          <w:lang w:val="tr-TR"/>
        </w:rPr>
        <w:t>4.5</w:t>
      </w:r>
      <w:r>
        <w:rPr>
          <w:rFonts w:ascii="Arial" w:eastAsia="Arial" w:hAnsi="Arial" w:cs="Arial"/>
          <w:sz w:val="20"/>
          <w:szCs w:val="20"/>
          <w:lang w:val="tr-TR"/>
        </w:rPr>
        <w:t>’e erişti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(+</w:t>
      </w:r>
      <w:r w:rsidR="00E5063E" w:rsidRPr="002B54AF">
        <w:rPr>
          <w:rFonts w:ascii="Arial" w:eastAsia="Arial" w:hAnsi="Arial" w:cs="Arial"/>
          <w:sz w:val="20"/>
          <w:szCs w:val="20"/>
          <w:lang w:val="tr-TR"/>
        </w:rPr>
        <w:t>0.7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puan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).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Grup, Kuzey Afrika pazarının üçte birinden fazlasına sahip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Cezayir’de ise 8,7 puanlık artışla rekor düzeyde pazar payına ulaştı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(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yüzde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35.</w:t>
      </w:r>
      <w:r>
        <w:rPr>
          <w:rFonts w:ascii="Arial" w:eastAsia="Arial" w:hAnsi="Arial" w:cs="Arial"/>
          <w:sz w:val="20"/>
          <w:szCs w:val="20"/>
          <w:lang w:val="tr-TR"/>
        </w:rPr>
        <w:t>6</w:t>
      </w:r>
      <w:r w:rsidR="00E5063E" w:rsidRPr="002B54AF">
        <w:rPr>
          <w:rFonts w:ascii="Arial" w:eastAsia="Arial" w:hAnsi="Arial" w:cs="Arial"/>
          <w:sz w:val="20"/>
          <w:szCs w:val="20"/>
          <w:lang w:val="tr-TR"/>
        </w:rPr>
        <w:t>)</w:t>
      </w:r>
      <w:r>
        <w:rPr>
          <w:rFonts w:ascii="Arial" w:eastAsia="Arial" w:hAnsi="Arial" w:cs="Arial"/>
          <w:sz w:val="20"/>
          <w:szCs w:val="20"/>
          <w:lang w:val="tr-TR"/>
        </w:rPr>
        <w:t xml:space="preserve">. Oran’da </w:t>
      </w:r>
      <w:proofErr w:type="spellStart"/>
      <w:r>
        <w:rPr>
          <w:rFonts w:ascii="Arial" w:eastAsia="Arial" w:hAnsi="Arial" w:cs="Arial"/>
          <w:sz w:val="20"/>
          <w:szCs w:val="20"/>
          <w:lang w:val="tr-TR"/>
        </w:rPr>
        <w:t>Symbol’ün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yerel olarak üretilmesi bunda etkili oldu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. Dacia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ve</w:t>
      </w:r>
      <w:r w:rsidR="000C2F90" w:rsidRPr="002B54AF">
        <w:rPr>
          <w:rFonts w:ascii="Arial" w:eastAsia="Arial" w:hAnsi="Arial" w:cs="Arial"/>
          <w:sz w:val="20"/>
          <w:szCs w:val="20"/>
          <w:lang w:val="tr-TR"/>
        </w:rPr>
        <w:t xml:space="preserve"> Renault</w:t>
      </w:r>
      <w:r>
        <w:rPr>
          <w:rFonts w:ascii="Arial" w:eastAsia="Arial" w:hAnsi="Arial" w:cs="Arial"/>
          <w:sz w:val="20"/>
          <w:szCs w:val="20"/>
          <w:lang w:val="tr-TR"/>
        </w:rPr>
        <w:t>’nun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lider ve ikinci marka durumund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a olduğu Fas’ta araç satışları yüzde </w:t>
      </w:r>
      <w:r w:rsidR="00E5063E" w:rsidRPr="002B54AF">
        <w:rPr>
          <w:rFonts w:ascii="Arial" w:eastAsia="Arial" w:hAnsi="Arial" w:cs="Arial"/>
          <w:sz w:val="20"/>
          <w:szCs w:val="20"/>
          <w:lang w:val="tr-TR"/>
        </w:rPr>
        <w:t>11.5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arttı</w:t>
      </w:r>
      <w:r w:rsidR="00F21C96"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Grubun pazar payı ise 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yüzde </w:t>
      </w:r>
      <w:r w:rsidR="00F21C96" w:rsidRPr="002B54AF">
        <w:rPr>
          <w:rFonts w:ascii="Arial" w:eastAsia="Arial" w:hAnsi="Arial" w:cs="Arial"/>
          <w:sz w:val="20"/>
          <w:szCs w:val="20"/>
          <w:lang w:val="tr-TR"/>
        </w:rPr>
        <w:t>38</w:t>
      </w:r>
      <w:r w:rsidR="00E5063E" w:rsidRPr="002B54AF">
        <w:rPr>
          <w:rFonts w:ascii="Arial" w:eastAsia="Arial" w:hAnsi="Arial" w:cs="Arial"/>
          <w:sz w:val="20"/>
          <w:szCs w:val="20"/>
          <w:lang w:val="tr-TR"/>
        </w:rPr>
        <w:t>.2</w:t>
      </w:r>
      <w:r>
        <w:rPr>
          <w:rFonts w:ascii="Arial" w:eastAsia="Arial" w:hAnsi="Arial" w:cs="Arial"/>
          <w:sz w:val="20"/>
          <w:szCs w:val="20"/>
          <w:lang w:val="tr-TR"/>
        </w:rPr>
        <w:t>’den fazla oldu</w:t>
      </w:r>
      <w:r w:rsidR="000C2F90" w:rsidRPr="002B54AF">
        <w:rPr>
          <w:rFonts w:ascii="Arial" w:eastAsia="Arial" w:hAnsi="Arial" w:cs="Arial"/>
          <w:sz w:val="20"/>
          <w:szCs w:val="20"/>
          <w:lang w:val="tr-TR"/>
        </w:rPr>
        <w:t xml:space="preserve"> (+1,2 </w:t>
      </w:r>
      <w:r>
        <w:rPr>
          <w:rFonts w:ascii="Arial" w:eastAsia="Arial" w:hAnsi="Arial" w:cs="Arial"/>
          <w:sz w:val="20"/>
          <w:szCs w:val="20"/>
          <w:lang w:val="tr-TR"/>
        </w:rPr>
        <w:t>puan</w:t>
      </w:r>
      <w:r w:rsidR="000C2F90" w:rsidRPr="002B54AF">
        <w:rPr>
          <w:rFonts w:ascii="Arial" w:eastAsia="Arial" w:hAnsi="Arial" w:cs="Arial"/>
          <w:sz w:val="20"/>
          <w:szCs w:val="20"/>
          <w:lang w:val="tr-TR"/>
        </w:rPr>
        <w:t>)</w:t>
      </w:r>
      <w:r w:rsidR="00F21C96"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</w:p>
    <w:p w:rsidR="00931A35" w:rsidRPr="002B54AF" w:rsidRDefault="00B961D0" w:rsidP="00F21C96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Afrika’nın ikinci büyük pazarı 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durumundaki Mısır’da satışları yüzde </w:t>
      </w:r>
      <w:r w:rsidR="00E5063E" w:rsidRPr="002B54AF">
        <w:rPr>
          <w:rFonts w:ascii="Arial" w:eastAsia="Arial" w:hAnsi="Arial" w:cs="Arial"/>
          <w:sz w:val="20"/>
          <w:szCs w:val="20"/>
          <w:lang w:val="tr-TR"/>
        </w:rPr>
        <w:t>73.8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 arttı ve pazar payı yüzde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7.5</w:t>
      </w:r>
      <w:r>
        <w:rPr>
          <w:rFonts w:ascii="Arial" w:eastAsia="Arial" w:hAnsi="Arial" w:cs="Arial"/>
          <w:sz w:val="20"/>
          <w:szCs w:val="20"/>
          <w:lang w:val="tr-TR"/>
        </w:rPr>
        <w:t xml:space="preserve">’e erişti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(+3.4 </w:t>
      </w:r>
      <w:r>
        <w:rPr>
          <w:rFonts w:ascii="Arial" w:eastAsia="Arial" w:hAnsi="Arial" w:cs="Arial"/>
          <w:sz w:val="20"/>
          <w:szCs w:val="20"/>
          <w:lang w:val="tr-TR"/>
        </w:rPr>
        <w:t>puan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).</w:t>
      </w:r>
    </w:p>
    <w:p w:rsidR="00114270" w:rsidRPr="002B54AF" w:rsidRDefault="00B961D0" w:rsidP="0011427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Hindistan’da ise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Renault </w:t>
      </w:r>
      <w:r>
        <w:rPr>
          <w:rFonts w:ascii="Arial" w:eastAsia="Arial" w:hAnsi="Arial" w:cs="Arial"/>
          <w:sz w:val="20"/>
          <w:szCs w:val="20"/>
          <w:lang w:val="tr-TR"/>
        </w:rPr>
        <w:t>lider Avrupalı otom</w:t>
      </w:r>
      <w:r w:rsidR="00707C13">
        <w:rPr>
          <w:rFonts w:ascii="Arial" w:eastAsia="Arial" w:hAnsi="Arial" w:cs="Arial"/>
          <w:sz w:val="20"/>
          <w:szCs w:val="20"/>
          <w:lang w:val="tr-TR"/>
        </w:rPr>
        <w:t xml:space="preserve">otiv markası 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olmaya devam etti ve satışları yüzde 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20.1</w:t>
      </w:r>
      <w:r w:rsidR="00707C13">
        <w:rPr>
          <w:rFonts w:ascii="Arial" w:eastAsia="Arial" w:hAnsi="Arial" w:cs="Arial"/>
          <w:sz w:val="20"/>
          <w:szCs w:val="20"/>
          <w:lang w:val="tr-TR"/>
        </w:rPr>
        <w:t xml:space="preserve"> oranında arttı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proofErr w:type="spellStart"/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Kwid</w:t>
      </w:r>
      <w:proofErr w:type="spellEnd"/>
      <w:r w:rsidR="003736F6" w:rsidRPr="002B54AF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707C13">
        <w:rPr>
          <w:rFonts w:ascii="Arial" w:eastAsia="Arial" w:hAnsi="Arial" w:cs="Arial"/>
          <w:sz w:val="20"/>
          <w:szCs w:val="20"/>
          <w:lang w:val="tr-TR"/>
        </w:rPr>
        <w:t xml:space="preserve">modeli Eylül ayındaki </w:t>
      </w:r>
      <w:proofErr w:type="spellStart"/>
      <w:r w:rsidR="00707C13">
        <w:rPr>
          <w:rFonts w:ascii="Arial" w:eastAsia="Arial" w:hAnsi="Arial" w:cs="Arial"/>
          <w:sz w:val="20"/>
          <w:szCs w:val="20"/>
          <w:lang w:val="tr-TR"/>
        </w:rPr>
        <w:t>lansmanından</w:t>
      </w:r>
      <w:proofErr w:type="spellEnd"/>
      <w:r w:rsidR="00707C13">
        <w:rPr>
          <w:rFonts w:ascii="Arial" w:eastAsia="Arial" w:hAnsi="Arial" w:cs="Arial"/>
          <w:sz w:val="20"/>
          <w:szCs w:val="20"/>
          <w:lang w:val="tr-TR"/>
        </w:rPr>
        <w:t xml:space="preserve"> bu yana 80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="00E477F5">
        <w:rPr>
          <w:rFonts w:ascii="Arial" w:eastAsia="Arial" w:hAnsi="Arial" w:cs="Arial"/>
          <w:sz w:val="20"/>
          <w:szCs w:val="20"/>
          <w:lang w:val="tr-TR"/>
        </w:rPr>
        <w:t>bin</w:t>
      </w:r>
      <w:r w:rsidR="00707C13">
        <w:rPr>
          <w:rFonts w:ascii="Arial" w:eastAsia="Arial" w:hAnsi="Arial" w:cs="Arial"/>
          <w:sz w:val="20"/>
          <w:szCs w:val="20"/>
          <w:lang w:val="tr-TR"/>
        </w:rPr>
        <w:t>’den</w:t>
      </w:r>
      <w:proofErr w:type="spellEnd"/>
      <w:r w:rsidR="00707C13">
        <w:rPr>
          <w:rFonts w:ascii="Arial" w:eastAsia="Arial" w:hAnsi="Arial" w:cs="Arial"/>
          <w:sz w:val="20"/>
          <w:szCs w:val="20"/>
          <w:lang w:val="tr-TR"/>
        </w:rPr>
        <w:t xml:space="preserve"> fazla sipariş alarak dikkat çekici bir başlangıca imza attı</w:t>
      </w:r>
      <w:r w:rsidR="003736F6" w:rsidRPr="002B54AF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462CB8" w:rsidRPr="00041FB8" w:rsidRDefault="003736F6">
      <w:pPr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br w:type="page"/>
      </w:r>
    </w:p>
    <w:p w:rsidR="004A40C2" w:rsidRPr="00041FB8" w:rsidRDefault="004A40C2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462CB8" w:rsidRPr="00041FB8" w:rsidRDefault="00462CB8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462CB8" w:rsidRPr="00707C13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</w:t>
      </w:r>
      <w:r w:rsidR="00795F4E"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</w:t>
      </w:r>
    </w:p>
    <w:p w:rsidR="00462CB8" w:rsidRPr="00041FB8" w:rsidRDefault="00462CB8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D004CC" w:rsidRPr="00707C13" w:rsidRDefault="00707C13" w:rsidP="0011427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b/>
          <w:sz w:val="20"/>
          <w:szCs w:val="20"/>
          <w:lang w:val="tr-TR"/>
        </w:rPr>
        <w:t>Amerik</w:t>
      </w:r>
      <w:r w:rsidR="00130D09" w:rsidRPr="00707C13">
        <w:rPr>
          <w:rFonts w:ascii="Arial" w:eastAsia="Arial" w:hAnsi="Arial" w:cs="Arial"/>
          <w:b/>
          <w:sz w:val="20"/>
          <w:szCs w:val="20"/>
          <w:lang w:val="tr-TR"/>
        </w:rPr>
        <w:t>a</w:t>
      </w:r>
      <w:r>
        <w:rPr>
          <w:rFonts w:ascii="Arial" w:eastAsia="Arial" w:hAnsi="Arial" w:cs="Arial"/>
          <w:b/>
          <w:sz w:val="20"/>
          <w:szCs w:val="20"/>
          <w:lang w:val="tr-TR"/>
        </w:rPr>
        <w:t xml:space="preserve"> bölgesinde</w:t>
      </w:r>
      <w:r w:rsidR="00E5063E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Pr="00707C13">
        <w:rPr>
          <w:rFonts w:ascii="Arial" w:eastAsia="Arial" w:hAnsi="Arial" w:cs="Arial"/>
          <w:sz w:val="20"/>
          <w:szCs w:val="20"/>
          <w:lang w:val="tr-TR"/>
        </w:rPr>
        <w:t xml:space="preserve">ise </w:t>
      </w:r>
      <w:r w:rsidR="00E5063E" w:rsidRPr="00707C13">
        <w:rPr>
          <w:rFonts w:ascii="Arial" w:eastAsia="Arial" w:hAnsi="Arial" w:cs="Arial"/>
          <w:sz w:val="20"/>
          <w:szCs w:val="20"/>
          <w:lang w:val="tr-TR"/>
        </w:rPr>
        <w:t>(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yüzde </w:t>
      </w:r>
      <w:r w:rsidR="00E5063E" w:rsidRPr="00707C13">
        <w:rPr>
          <w:rFonts w:ascii="Arial" w:eastAsia="Arial" w:hAnsi="Arial" w:cs="Arial"/>
          <w:sz w:val="20"/>
          <w:szCs w:val="20"/>
          <w:lang w:val="tr-TR"/>
        </w:rPr>
        <w:t>14.8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 azalmayla 355 bin </w:t>
      </w:r>
      <w:r w:rsidRPr="00707C13">
        <w:rPr>
          <w:rFonts w:ascii="Arial" w:eastAsia="Arial" w:hAnsi="Arial" w:cs="Arial"/>
          <w:sz w:val="20"/>
          <w:szCs w:val="20"/>
          <w:lang w:val="tr-TR"/>
        </w:rPr>
        <w:t>151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adet satış)</w:t>
      </w:r>
      <w:r w:rsidR="00114270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Grup yüzde </w:t>
      </w:r>
      <w:r w:rsidRPr="00707C13">
        <w:rPr>
          <w:rFonts w:ascii="Arial" w:eastAsia="Arial" w:hAnsi="Arial" w:cs="Arial"/>
          <w:sz w:val="20"/>
          <w:szCs w:val="20"/>
          <w:lang w:val="tr-TR"/>
        </w:rPr>
        <w:t xml:space="preserve">6.3 (-0.1 </w:t>
      </w:r>
      <w:r>
        <w:rPr>
          <w:rFonts w:ascii="Arial" w:eastAsia="Arial" w:hAnsi="Arial" w:cs="Arial"/>
          <w:sz w:val="20"/>
          <w:szCs w:val="20"/>
          <w:lang w:val="tr-TR"/>
        </w:rPr>
        <w:t>puan</w:t>
      </w:r>
      <w:r w:rsidRPr="00707C13">
        <w:rPr>
          <w:rFonts w:ascii="Arial" w:eastAsia="Arial" w:hAnsi="Arial" w:cs="Arial"/>
          <w:sz w:val="20"/>
          <w:szCs w:val="20"/>
          <w:lang w:val="tr-TR"/>
        </w:rPr>
        <w:t>)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pazar payı ile ekonomik zorluklara göğüs gerdi</w:t>
      </w:r>
      <w:r w:rsidR="00114270" w:rsidRPr="00707C13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>
        <w:rPr>
          <w:rFonts w:ascii="Arial" w:eastAsia="Arial" w:hAnsi="Arial" w:cs="Arial"/>
          <w:sz w:val="20"/>
          <w:szCs w:val="20"/>
          <w:lang w:val="tr-TR"/>
        </w:rPr>
        <w:t>Grubun ikinci büyük pazarı durumundaki Brezilya’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da pazar payı 0,2 puan artışla yüzde </w:t>
      </w:r>
      <w:r>
        <w:rPr>
          <w:rFonts w:ascii="Arial" w:eastAsia="Arial" w:hAnsi="Arial" w:cs="Arial"/>
          <w:sz w:val="20"/>
          <w:szCs w:val="20"/>
          <w:lang w:val="tr-TR"/>
        </w:rPr>
        <w:t>25,5 daralan bir pazard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a daha önce görülmemiş biçimde yüzde </w:t>
      </w:r>
      <w:r>
        <w:rPr>
          <w:rFonts w:ascii="Arial" w:eastAsia="Arial" w:hAnsi="Arial" w:cs="Arial"/>
          <w:sz w:val="20"/>
          <w:szCs w:val="20"/>
          <w:lang w:val="tr-TR"/>
        </w:rPr>
        <w:t>7,3’e ulaştı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 w:rsidR="009427E2">
        <w:rPr>
          <w:rFonts w:ascii="Arial" w:eastAsia="Arial" w:hAnsi="Arial" w:cs="Arial"/>
          <w:sz w:val="20"/>
          <w:szCs w:val="20"/>
          <w:lang w:val="tr-TR"/>
        </w:rPr>
        <w:t xml:space="preserve">Arjantin’de ise Grup </w:t>
      </w:r>
      <w:proofErr w:type="spellStart"/>
      <w:r w:rsidR="009427E2">
        <w:rPr>
          <w:rFonts w:ascii="Arial" w:eastAsia="Arial" w:hAnsi="Arial" w:cs="Arial"/>
          <w:sz w:val="20"/>
          <w:szCs w:val="20"/>
          <w:lang w:val="tr-TR"/>
        </w:rPr>
        <w:t>satışlardai</w:t>
      </w:r>
      <w:proofErr w:type="spellEnd"/>
      <w:r w:rsidR="009427E2">
        <w:rPr>
          <w:rFonts w:ascii="Arial" w:eastAsia="Arial" w:hAnsi="Arial" w:cs="Arial"/>
          <w:sz w:val="20"/>
          <w:szCs w:val="20"/>
          <w:lang w:val="tr-TR"/>
        </w:rPr>
        <w:t xml:space="preserve"> azalmayı </w:t>
      </w:r>
      <w:r w:rsidR="00E5063E" w:rsidRPr="00707C13">
        <w:rPr>
          <w:rFonts w:ascii="Arial" w:eastAsia="Arial" w:hAnsi="Arial" w:cs="Arial"/>
          <w:sz w:val="20"/>
          <w:szCs w:val="20"/>
          <w:lang w:val="tr-TR"/>
        </w:rPr>
        <w:t>-</w:t>
      </w:r>
      <w:r w:rsidR="009427E2">
        <w:rPr>
          <w:rFonts w:ascii="Arial" w:eastAsia="Arial" w:hAnsi="Arial" w:cs="Arial"/>
          <w:sz w:val="20"/>
          <w:szCs w:val="20"/>
          <w:lang w:val="tr-TR"/>
        </w:rPr>
        <w:t>%</w:t>
      </w:r>
      <w:r w:rsidR="00E5063E" w:rsidRPr="00707C13">
        <w:rPr>
          <w:rFonts w:ascii="Arial" w:eastAsia="Arial" w:hAnsi="Arial" w:cs="Arial"/>
          <w:sz w:val="20"/>
          <w:szCs w:val="20"/>
          <w:lang w:val="tr-TR"/>
        </w:rPr>
        <w:t>6.5</w:t>
      </w:r>
      <w:r w:rsidR="009427E2">
        <w:rPr>
          <w:rFonts w:ascii="Arial" w:eastAsia="Arial" w:hAnsi="Arial" w:cs="Arial"/>
          <w:sz w:val="20"/>
          <w:szCs w:val="20"/>
          <w:lang w:val="tr-TR"/>
        </w:rPr>
        <w:t xml:space="preserve"> ile sınırlı tutmayı başardı. Bunda en so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n üç aylık dönemde elde edilen yüzde </w:t>
      </w:r>
      <w:r w:rsidR="00130D09" w:rsidRPr="00707C13">
        <w:rPr>
          <w:rFonts w:ascii="Arial" w:eastAsia="Arial" w:hAnsi="Arial" w:cs="Arial"/>
          <w:sz w:val="20"/>
          <w:szCs w:val="20"/>
          <w:lang w:val="tr-TR"/>
        </w:rPr>
        <w:t>14</w:t>
      </w:r>
      <w:r w:rsidR="009878A1" w:rsidRPr="00707C13">
        <w:rPr>
          <w:rFonts w:ascii="Arial" w:eastAsia="Arial" w:hAnsi="Arial" w:cs="Arial"/>
          <w:sz w:val="20"/>
          <w:szCs w:val="20"/>
          <w:lang w:val="tr-TR"/>
        </w:rPr>
        <w:t>.7</w:t>
      </w:r>
      <w:r w:rsidR="009427E2">
        <w:rPr>
          <w:rFonts w:ascii="Arial" w:eastAsia="Arial" w:hAnsi="Arial" w:cs="Arial"/>
          <w:sz w:val="20"/>
          <w:szCs w:val="20"/>
          <w:lang w:val="tr-TR"/>
        </w:rPr>
        <w:t>’lik pazar payı etkili oldu</w:t>
      </w:r>
      <w:r w:rsidR="00FB48A0" w:rsidRPr="00707C13">
        <w:rPr>
          <w:rFonts w:ascii="Arial" w:eastAsia="Arial" w:hAnsi="Arial" w:cs="Arial"/>
          <w:sz w:val="20"/>
          <w:szCs w:val="20"/>
          <w:lang w:val="tr-TR"/>
        </w:rPr>
        <w:t xml:space="preserve"> (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tüm sene için yüzde </w:t>
      </w:r>
      <w:r w:rsidR="00FB48A0" w:rsidRPr="00707C13">
        <w:rPr>
          <w:rFonts w:ascii="Arial" w:eastAsia="Arial" w:hAnsi="Arial" w:cs="Arial"/>
          <w:sz w:val="20"/>
          <w:szCs w:val="20"/>
          <w:lang w:val="tr-TR"/>
        </w:rPr>
        <w:t>12</w:t>
      </w:r>
      <w:r w:rsidR="009878A1" w:rsidRPr="00707C13">
        <w:rPr>
          <w:rFonts w:ascii="Arial" w:eastAsia="Arial" w:hAnsi="Arial" w:cs="Arial"/>
          <w:sz w:val="20"/>
          <w:szCs w:val="20"/>
          <w:lang w:val="tr-TR"/>
        </w:rPr>
        <w:t>.7</w:t>
      </w:r>
      <w:r w:rsidR="00FB48A0" w:rsidRPr="00707C13">
        <w:rPr>
          <w:rFonts w:ascii="Arial" w:eastAsia="Arial" w:hAnsi="Arial" w:cs="Arial"/>
          <w:sz w:val="20"/>
          <w:szCs w:val="20"/>
          <w:lang w:val="tr-TR"/>
        </w:rPr>
        <w:t xml:space="preserve">). </w:t>
      </w:r>
      <w:r w:rsidR="009427E2">
        <w:rPr>
          <w:rFonts w:ascii="Arial" w:eastAsia="Arial" w:hAnsi="Arial" w:cs="Arial"/>
          <w:sz w:val="20"/>
          <w:szCs w:val="20"/>
          <w:lang w:val="tr-TR"/>
        </w:rPr>
        <w:t xml:space="preserve">Kolombiya’da ise 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 xml:space="preserve">Renault 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markası 2 puanlık artışla yüzde </w:t>
      </w:r>
      <w:r w:rsidR="009427E2">
        <w:rPr>
          <w:rFonts w:ascii="Arial" w:eastAsia="Arial" w:hAnsi="Arial" w:cs="Arial"/>
          <w:sz w:val="20"/>
          <w:szCs w:val="20"/>
          <w:lang w:val="tr-TR"/>
        </w:rPr>
        <w:t>18.6 gibi yüksek bir pazar payına ulaştı</w:t>
      </w:r>
      <w:r w:rsidR="009433FC" w:rsidRPr="00707C13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DF1EA3" w:rsidRPr="00707C13" w:rsidRDefault="009427E2" w:rsidP="0011427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proofErr w:type="gramStart"/>
      <w:r>
        <w:rPr>
          <w:rFonts w:ascii="Arial" w:eastAsia="Arial" w:hAnsi="Arial" w:cs="Arial"/>
          <w:sz w:val="20"/>
          <w:szCs w:val="20"/>
          <w:lang w:val="tr-TR"/>
        </w:rPr>
        <w:t>Yıl sonunda</w:t>
      </w:r>
      <w:proofErr w:type="gramEnd"/>
      <w:r>
        <w:rPr>
          <w:rFonts w:ascii="Arial" w:eastAsia="Arial" w:hAnsi="Arial" w:cs="Arial"/>
          <w:sz w:val="20"/>
          <w:szCs w:val="20"/>
          <w:lang w:val="tr-TR"/>
        </w:rPr>
        <w:t xml:space="preserve"> lanse edilen </w:t>
      </w:r>
      <w:proofErr w:type="spellStart"/>
      <w:r w:rsidR="003736F6" w:rsidRPr="00707C13">
        <w:rPr>
          <w:rFonts w:ascii="Arial" w:eastAsia="Arial" w:hAnsi="Arial" w:cs="Arial"/>
          <w:sz w:val="20"/>
          <w:szCs w:val="20"/>
          <w:lang w:val="tr-TR"/>
        </w:rPr>
        <w:t>Duster</w:t>
      </w:r>
      <w:proofErr w:type="spellEnd"/>
      <w:r w:rsidR="003736F6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tr-TR"/>
        </w:rPr>
        <w:t>Oroch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tr-TR"/>
        </w:rPr>
        <w:t>pick-up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Brezilya’da daha şimdiden kendi </w:t>
      </w:r>
      <w:proofErr w:type="spellStart"/>
      <w:r>
        <w:rPr>
          <w:rFonts w:ascii="Arial" w:eastAsia="Arial" w:hAnsi="Arial" w:cs="Arial"/>
          <w:sz w:val="20"/>
          <w:szCs w:val="20"/>
          <w:lang w:val="tr-TR"/>
        </w:rPr>
        <w:t>segmentinde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ikinci sı</w:t>
      </w:r>
      <w:r w:rsidR="007E657C">
        <w:rPr>
          <w:rFonts w:ascii="Arial" w:eastAsia="Arial" w:hAnsi="Arial" w:cs="Arial"/>
          <w:sz w:val="20"/>
          <w:szCs w:val="20"/>
          <w:lang w:val="tr-TR"/>
        </w:rPr>
        <w:t>r</w:t>
      </w:r>
      <w:r>
        <w:rPr>
          <w:rFonts w:ascii="Arial" w:eastAsia="Arial" w:hAnsi="Arial" w:cs="Arial"/>
          <w:sz w:val="20"/>
          <w:szCs w:val="20"/>
          <w:lang w:val="tr-TR"/>
        </w:rPr>
        <w:t>aya yerleşti</w:t>
      </w:r>
      <w:r w:rsidR="00E903C0" w:rsidRPr="00707C13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proofErr w:type="spellStart"/>
      <w:r w:rsidR="007E657C">
        <w:rPr>
          <w:rFonts w:ascii="Arial" w:eastAsia="Arial" w:hAnsi="Arial" w:cs="Arial"/>
          <w:sz w:val="20"/>
          <w:szCs w:val="20"/>
          <w:lang w:val="tr-TR"/>
        </w:rPr>
        <w:t>Renault’nun</w:t>
      </w:r>
      <w:proofErr w:type="spellEnd"/>
      <w:r w:rsidR="007E657C">
        <w:rPr>
          <w:rFonts w:ascii="Arial" w:eastAsia="Arial" w:hAnsi="Arial" w:cs="Arial"/>
          <w:sz w:val="20"/>
          <w:szCs w:val="20"/>
          <w:lang w:val="tr-TR"/>
        </w:rPr>
        <w:t xml:space="preserve"> bu </w:t>
      </w:r>
      <w:proofErr w:type="spellStart"/>
      <w:r w:rsidR="007E657C">
        <w:rPr>
          <w:rFonts w:ascii="Arial" w:eastAsia="Arial" w:hAnsi="Arial" w:cs="Arial"/>
          <w:sz w:val="20"/>
          <w:szCs w:val="20"/>
          <w:lang w:val="tr-TR"/>
        </w:rPr>
        <w:t>segmentteki</w:t>
      </w:r>
      <w:proofErr w:type="spellEnd"/>
      <w:r w:rsidR="007E657C">
        <w:rPr>
          <w:rFonts w:ascii="Arial" w:eastAsia="Arial" w:hAnsi="Arial" w:cs="Arial"/>
          <w:sz w:val="20"/>
          <w:szCs w:val="20"/>
          <w:lang w:val="tr-TR"/>
        </w:rPr>
        <w:t xml:space="preserve"> yükselişi önümüzdeki aylarda bu bölgedeki büyümeyi destekleyecektir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FB48A0" w:rsidRPr="00707C13" w:rsidRDefault="00FB48A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4E4857" w:rsidRPr="00707C13" w:rsidRDefault="007E657C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b/>
          <w:sz w:val="20"/>
          <w:szCs w:val="20"/>
          <w:lang w:val="tr-TR"/>
        </w:rPr>
        <w:t>Asya Pas</w:t>
      </w:r>
      <w:r w:rsidR="003736F6" w:rsidRPr="00707C13">
        <w:rPr>
          <w:rFonts w:ascii="Arial" w:eastAsia="Arial" w:hAnsi="Arial" w:cs="Arial"/>
          <w:b/>
          <w:sz w:val="20"/>
          <w:szCs w:val="20"/>
          <w:lang w:val="tr-TR"/>
        </w:rPr>
        <w:t>ifi</w:t>
      </w:r>
      <w:r>
        <w:rPr>
          <w:rFonts w:ascii="Arial" w:eastAsia="Arial" w:hAnsi="Arial" w:cs="Arial"/>
          <w:b/>
          <w:sz w:val="20"/>
          <w:szCs w:val="20"/>
          <w:lang w:val="tr-TR"/>
        </w:rPr>
        <w:t>k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bölgesinde ise Grubun bölgedeki en büyük pazarı durumundaki Kore’deki satışların düzeyi 2014’teki büyümenin ardından </w:t>
      </w:r>
      <w:proofErr w:type="gramStart"/>
      <w:r>
        <w:rPr>
          <w:rFonts w:ascii="Arial" w:eastAsia="Arial" w:hAnsi="Arial" w:cs="Arial"/>
          <w:sz w:val="20"/>
          <w:szCs w:val="20"/>
          <w:lang w:val="tr-TR"/>
        </w:rPr>
        <w:t>stabil</w:t>
      </w:r>
      <w:proofErr w:type="gramEnd"/>
      <w:r>
        <w:rPr>
          <w:rFonts w:ascii="Arial" w:eastAsia="Arial" w:hAnsi="Arial" w:cs="Arial"/>
          <w:sz w:val="20"/>
          <w:szCs w:val="20"/>
          <w:lang w:val="tr-TR"/>
        </w:rPr>
        <w:t xml:space="preserve"> kaldı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Çin’de en büyük öncelik </w:t>
      </w:r>
      <w:proofErr w:type="spellStart"/>
      <w:r>
        <w:rPr>
          <w:rFonts w:ascii="Arial" w:eastAsia="Arial" w:hAnsi="Arial" w:cs="Arial"/>
          <w:sz w:val="20"/>
          <w:szCs w:val="20"/>
          <w:lang w:val="tr-TR"/>
        </w:rPr>
        <w:t>Kadjar’ın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Çin </w:t>
      </w:r>
      <w:proofErr w:type="gramStart"/>
      <w:r>
        <w:rPr>
          <w:rFonts w:ascii="Arial" w:eastAsia="Arial" w:hAnsi="Arial" w:cs="Arial"/>
          <w:sz w:val="20"/>
          <w:szCs w:val="20"/>
          <w:lang w:val="tr-TR"/>
        </w:rPr>
        <w:t>versiyonunu</w:t>
      </w:r>
      <w:proofErr w:type="gramEnd"/>
      <w:r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tr-TR"/>
        </w:rPr>
        <w:t>lansman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hazırlıklarına verildi. Söz konusu araç </w:t>
      </w:r>
      <w:proofErr w:type="spellStart"/>
      <w:r w:rsidRPr="00707C13">
        <w:rPr>
          <w:rFonts w:ascii="Arial" w:eastAsia="Arial" w:hAnsi="Arial" w:cs="Arial"/>
          <w:sz w:val="20"/>
          <w:szCs w:val="20"/>
          <w:lang w:val="tr-TR"/>
        </w:rPr>
        <w:t>Dongfeng</w:t>
      </w:r>
      <w:proofErr w:type="spellEnd"/>
      <w:r w:rsidRPr="00707C13">
        <w:rPr>
          <w:rFonts w:ascii="Arial" w:eastAsia="Arial" w:hAnsi="Arial" w:cs="Arial"/>
          <w:sz w:val="20"/>
          <w:szCs w:val="20"/>
          <w:lang w:val="tr-TR"/>
        </w:rPr>
        <w:t xml:space="preserve"> Renault</w:t>
      </w:r>
      <w:r>
        <w:rPr>
          <w:rFonts w:ascii="Arial" w:eastAsia="Arial" w:hAnsi="Arial" w:cs="Arial"/>
          <w:sz w:val="20"/>
          <w:szCs w:val="20"/>
          <w:lang w:val="tr-TR"/>
        </w:rPr>
        <w:t xml:space="preserve"> ortak girişiminin yerel anlamda üreteceği ilk araç olacak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4E4857" w:rsidRPr="00707C13" w:rsidRDefault="004E4857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8159F6" w:rsidRPr="00707C13" w:rsidRDefault="008159F6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DF1EA3" w:rsidRPr="00707C13" w:rsidRDefault="007E657C">
      <w:pPr>
        <w:spacing w:after="0" w:line="250" w:lineRule="auto"/>
        <w:ind w:left="1349" w:right="90"/>
        <w:jc w:val="both"/>
        <w:rPr>
          <w:rFonts w:ascii="Arial" w:eastAsia="Arial" w:hAnsi="Arial" w:cs="Arial"/>
          <w:b/>
          <w:sz w:val="20"/>
          <w:szCs w:val="20"/>
          <w:lang w:val="tr-TR"/>
        </w:rPr>
      </w:pPr>
      <w:r>
        <w:rPr>
          <w:rStyle w:val="subtitle1"/>
          <w:sz w:val="20"/>
          <w:szCs w:val="20"/>
          <w:lang w:val="tr-TR"/>
        </w:rPr>
        <w:t>RENAULT GRUBU İÇİN 2016</w:t>
      </w:r>
      <w:r w:rsidRPr="0007776A">
        <w:rPr>
          <w:rStyle w:val="subtitle1"/>
          <w:sz w:val="20"/>
          <w:szCs w:val="20"/>
          <w:lang w:val="tr-TR"/>
        </w:rPr>
        <w:t xml:space="preserve"> </w:t>
      </w:r>
      <w:r>
        <w:rPr>
          <w:rStyle w:val="subtitle1"/>
          <w:sz w:val="20"/>
          <w:szCs w:val="20"/>
          <w:lang w:val="tr-TR"/>
        </w:rPr>
        <w:t>SATIŞLARININ GÖRÜNÜMÜ</w:t>
      </w:r>
    </w:p>
    <w:p w:rsidR="00DF1EA3" w:rsidRPr="00707C13" w:rsidRDefault="00DF1EA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8159F6" w:rsidRPr="00707C13" w:rsidRDefault="007E657C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>2016’da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gramStart"/>
      <w:r w:rsidR="003736F6" w:rsidRPr="00707C13">
        <w:rPr>
          <w:rFonts w:ascii="Arial" w:eastAsia="Arial" w:hAnsi="Arial" w:cs="Arial"/>
          <w:sz w:val="20"/>
          <w:szCs w:val="20"/>
          <w:lang w:val="tr-TR"/>
        </w:rPr>
        <w:t>global</w:t>
      </w:r>
      <w:proofErr w:type="gramEnd"/>
      <w:r w:rsidR="003736F6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pazarın 2015 senesine oranla yüzde 1 ila </w:t>
      </w:r>
      <w:r>
        <w:rPr>
          <w:rFonts w:ascii="Arial" w:eastAsia="Arial" w:hAnsi="Arial" w:cs="Arial"/>
          <w:sz w:val="20"/>
          <w:szCs w:val="20"/>
          <w:lang w:val="tr-TR"/>
        </w:rPr>
        <w:t>2 düzeyinde rekor büyüme sağlayacağı tahmin ediliyor.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Ayrıca hem Avrupa pazarının hem de Fransa pazarı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nın yüzde </w:t>
      </w:r>
      <w:r>
        <w:rPr>
          <w:rFonts w:ascii="Arial" w:eastAsia="Arial" w:hAnsi="Arial" w:cs="Arial"/>
          <w:sz w:val="20"/>
          <w:szCs w:val="20"/>
          <w:lang w:val="tr-TR"/>
        </w:rPr>
        <w:t>2 oranında artacağı tahmin ediliyor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E903C0" w:rsidRPr="00707C13" w:rsidRDefault="00E903C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E903C0" w:rsidRPr="00707C13" w:rsidRDefault="007E657C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>Uluslararası seviyede Brezilya ve Rusya pazarlarının sırasıy</w:t>
      </w:r>
      <w:r w:rsidR="00A93022">
        <w:rPr>
          <w:rFonts w:ascii="Arial" w:eastAsia="Arial" w:hAnsi="Arial" w:cs="Arial"/>
          <w:sz w:val="20"/>
          <w:szCs w:val="20"/>
          <w:lang w:val="tr-TR"/>
        </w:rPr>
        <w:t>la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 yüzde </w:t>
      </w:r>
      <w:r>
        <w:rPr>
          <w:rFonts w:ascii="Arial" w:eastAsia="Arial" w:hAnsi="Arial" w:cs="Arial"/>
          <w:sz w:val="20"/>
          <w:szCs w:val="20"/>
          <w:lang w:val="tr-TR"/>
        </w:rPr>
        <w:t>6 ve 12 oranında düşeceği ön görülüyor</w:t>
      </w:r>
      <w:r w:rsidR="00E903C0" w:rsidRPr="00707C13">
        <w:rPr>
          <w:rFonts w:ascii="Arial" w:eastAsia="Arial" w:hAnsi="Arial" w:cs="Arial"/>
          <w:sz w:val="20"/>
          <w:szCs w:val="20"/>
          <w:lang w:val="tr-TR"/>
        </w:rPr>
        <w:t xml:space="preserve">.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Öte yandan Çin </w:t>
      </w:r>
      <w:r w:rsidR="008C3488" w:rsidRPr="00707C13">
        <w:rPr>
          <w:rFonts w:ascii="Arial" w:eastAsia="Arial" w:hAnsi="Arial" w:cs="Arial"/>
          <w:sz w:val="20"/>
          <w:szCs w:val="20"/>
          <w:lang w:val="tr-TR"/>
        </w:rPr>
        <w:t xml:space="preserve">(+4 </w:t>
      </w:r>
      <w:r>
        <w:rPr>
          <w:rFonts w:ascii="Arial" w:eastAsia="Arial" w:hAnsi="Arial" w:cs="Arial"/>
          <w:sz w:val="20"/>
          <w:szCs w:val="20"/>
          <w:lang w:val="tr-TR"/>
        </w:rPr>
        <w:t>artışla</w:t>
      </w:r>
      <w:r w:rsidR="008C3488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E477F5">
        <w:rPr>
          <w:rFonts w:ascii="Arial" w:eastAsia="Arial" w:hAnsi="Arial" w:cs="Arial"/>
          <w:sz w:val="20"/>
          <w:szCs w:val="20"/>
          <w:lang w:val="tr-TR"/>
        </w:rPr>
        <w:t xml:space="preserve">yüzde </w:t>
      </w:r>
      <w:r>
        <w:rPr>
          <w:rFonts w:ascii="Arial" w:eastAsia="Arial" w:hAnsi="Arial" w:cs="Arial"/>
          <w:sz w:val="20"/>
          <w:szCs w:val="20"/>
          <w:lang w:val="tr-TR"/>
        </w:rPr>
        <w:t>5</w:t>
      </w:r>
      <w:r w:rsidR="008C3488" w:rsidRPr="00707C13">
        <w:rPr>
          <w:rFonts w:ascii="Arial" w:eastAsia="Arial" w:hAnsi="Arial" w:cs="Arial"/>
          <w:sz w:val="20"/>
          <w:szCs w:val="20"/>
          <w:lang w:val="tr-TR"/>
        </w:rPr>
        <w:t>)</w:t>
      </w:r>
      <w:r w:rsidR="00866186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ve Hindistan</w:t>
      </w:r>
      <w:r w:rsidR="008C3488" w:rsidRPr="00707C13">
        <w:rPr>
          <w:rFonts w:ascii="Arial" w:eastAsia="Arial" w:hAnsi="Arial" w:cs="Arial"/>
          <w:sz w:val="20"/>
          <w:szCs w:val="20"/>
          <w:lang w:val="tr-TR"/>
        </w:rPr>
        <w:t xml:space="preserve"> (+</w:t>
      </w:r>
      <w:r>
        <w:rPr>
          <w:rFonts w:ascii="Arial" w:eastAsia="Arial" w:hAnsi="Arial" w:cs="Arial"/>
          <w:sz w:val="20"/>
          <w:szCs w:val="20"/>
          <w:lang w:val="tr-TR"/>
        </w:rPr>
        <w:t>%8</w:t>
      </w:r>
      <w:r w:rsidR="008C3488" w:rsidRPr="00707C13">
        <w:rPr>
          <w:rFonts w:ascii="Arial" w:eastAsia="Arial" w:hAnsi="Arial" w:cs="Arial"/>
          <w:sz w:val="20"/>
          <w:szCs w:val="20"/>
          <w:lang w:val="tr-TR"/>
        </w:rPr>
        <w:t>)</w:t>
      </w:r>
      <w:r w:rsidR="00E903C0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da kazandıkları ivmeyi devam ettirmeli</w:t>
      </w:r>
      <w:r w:rsidR="00866186" w:rsidRPr="00707C13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8159F6" w:rsidRPr="00707C13" w:rsidRDefault="008159F6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:rsidR="00CA448A" w:rsidRPr="00707C13" w:rsidRDefault="00E477F5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>Böyle</w:t>
      </w:r>
      <w:r w:rsidR="00C67D7A">
        <w:rPr>
          <w:rFonts w:ascii="Arial" w:eastAsia="Arial" w:hAnsi="Arial" w:cs="Arial"/>
          <w:sz w:val="20"/>
          <w:szCs w:val="20"/>
          <w:lang w:val="tr-TR"/>
        </w:rPr>
        <w:t xml:space="preserve"> bir ortamda ve bu yıla ilişkin eksiksiz ürün planı sayesinde </w:t>
      </w:r>
      <w:r w:rsidR="00CA31DB" w:rsidRPr="00707C13">
        <w:rPr>
          <w:rFonts w:ascii="Arial" w:eastAsia="Arial" w:hAnsi="Arial" w:cs="Arial"/>
          <w:sz w:val="20"/>
          <w:szCs w:val="20"/>
          <w:lang w:val="tr-TR"/>
        </w:rPr>
        <w:t>Renault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>Grubu</w:t>
      </w:r>
      <w:r w:rsidR="00C67D7A">
        <w:rPr>
          <w:rFonts w:ascii="Arial" w:eastAsia="Arial" w:hAnsi="Arial" w:cs="Arial"/>
          <w:sz w:val="20"/>
          <w:szCs w:val="20"/>
          <w:lang w:val="tr-TR"/>
        </w:rPr>
        <w:t xml:space="preserve"> tahmin</w:t>
      </w:r>
      <w:r>
        <w:rPr>
          <w:rFonts w:ascii="Arial" w:eastAsia="Arial" w:hAnsi="Arial" w:cs="Arial"/>
          <w:sz w:val="20"/>
          <w:szCs w:val="20"/>
          <w:lang w:val="tr-TR"/>
        </w:rPr>
        <w:t>i şu yönde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 xml:space="preserve">: </w:t>
      </w:r>
    </w:p>
    <w:p w:rsidR="008159F6" w:rsidRPr="00707C13" w:rsidRDefault="00C67D7A" w:rsidP="00CA448A">
      <w:pPr>
        <w:pStyle w:val="ListParagraph"/>
        <w:numPr>
          <w:ilvl w:val="0"/>
          <w:numId w:val="2"/>
        </w:numPr>
        <w:spacing w:after="0" w:line="250" w:lineRule="auto"/>
        <w:ind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>Dünya çapında satışlarda artış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>;</w:t>
      </w:r>
    </w:p>
    <w:p w:rsidR="005A543A" w:rsidRPr="00707C13" w:rsidRDefault="005A543A" w:rsidP="00CA448A">
      <w:pPr>
        <w:pStyle w:val="ListParagraph"/>
        <w:numPr>
          <w:ilvl w:val="0"/>
          <w:numId w:val="2"/>
        </w:numPr>
        <w:spacing w:after="0" w:line="250" w:lineRule="auto"/>
        <w:ind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707C13">
        <w:rPr>
          <w:rFonts w:ascii="Arial" w:eastAsia="Arial" w:hAnsi="Arial" w:cs="Arial"/>
          <w:sz w:val="20"/>
          <w:szCs w:val="20"/>
          <w:lang w:val="tr-TR"/>
        </w:rPr>
        <w:t xml:space="preserve">Renault </w:t>
      </w:r>
      <w:r w:rsidR="00C67D7A">
        <w:rPr>
          <w:rFonts w:ascii="Arial" w:eastAsia="Arial" w:hAnsi="Arial" w:cs="Arial"/>
          <w:sz w:val="20"/>
          <w:szCs w:val="20"/>
          <w:lang w:val="tr-TR"/>
        </w:rPr>
        <w:t>markasının Avrupa’da güçlenmesi;</w:t>
      </w:r>
    </w:p>
    <w:p w:rsidR="00CA448A" w:rsidRPr="00707C13" w:rsidRDefault="00C67D7A" w:rsidP="00CA448A">
      <w:pPr>
        <w:pStyle w:val="ListParagraph"/>
        <w:numPr>
          <w:ilvl w:val="0"/>
          <w:numId w:val="2"/>
        </w:numPr>
        <w:spacing w:after="0" w:line="250" w:lineRule="auto"/>
        <w:ind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>Beş bölgede de artış</w:t>
      </w:r>
      <w:r w:rsidR="003736F6" w:rsidRPr="00707C13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296DBA" w:rsidRPr="00707C13" w:rsidRDefault="00296DBA">
      <w:pPr>
        <w:spacing w:before="2" w:after="0" w:line="140" w:lineRule="exact"/>
        <w:rPr>
          <w:sz w:val="14"/>
          <w:szCs w:val="14"/>
          <w:lang w:val="tr-TR"/>
        </w:rPr>
      </w:pPr>
    </w:p>
    <w:p w:rsidR="00CA448A" w:rsidRPr="00707C13" w:rsidRDefault="00795F4E">
      <w:pPr>
        <w:spacing w:before="2" w:after="0" w:line="140" w:lineRule="exact"/>
        <w:rPr>
          <w:sz w:val="14"/>
          <w:szCs w:val="14"/>
          <w:lang w:val="tr-TR"/>
        </w:rPr>
      </w:pPr>
      <w:r>
        <w:rPr>
          <w:sz w:val="14"/>
          <w:szCs w:val="14"/>
          <w:lang w:val="tr-TR"/>
        </w:rPr>
        <w:t xml:space="preserve">                                                                                                 </w:t>
      </w:r>
    </w:p>
    <w:p w:rsidR="00296DBA" w:rsidRPr="00707C13" w:rsidRDefault="003736F6" w:rsidP="008159F6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707C13">
        <w:rPr>
          <w:rFonts w:ascii="Arial" w:hAnsi="Arial" w:cs="Arial"/>
          <w:sz w:val="20"/>
          <w:szCs w:val="20"/>
          <w:lang w:val="tr-TR"/>
        </w:rPr>
        <w:t>Thierry</w:t>
      </w:r>
      <w:proofErr w:type="spellEnd"/>
      <w:r w:rsidRPr="00707C13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707C13">
        <w:rPr>
          <w:rFonts w:ascii="Arial" w:hAnsi="Arial" w:cs="Arial"/>
          <w:sz w:val="20"/>
          <w:szCs w:val="20"/>
          <w:lang w:val="tr-TR"/>
        </w:rPr>
        <w:t>Koskas</w:t>
      </w:r>
      <w:proofErr w:type="spellEnd"/>
      <w:r w:rsidRPr="00707C13">
        <w:rPr>
          <w:rFonts w:ascii="Arial" w:hAnsi="Arial" w:cs="Arial"/>
          <w:sz w:val="20"/>
          <w:szCs w:val="20"/>
          <w:lang w:val="tr-TR"/>
        </w:rPr>
        <w:t xml:space="preserve"> </w:t>
      </w:r>
      <w:r w:rsidR="00C67D7A">
        <w:rPr>
          <w:rFonts w:ascii="Arial" w:hAnsi="Arial" w:cs="Arial"/>
          <w:sz w:val="20"/>
          <w:szCs w:val="20"/>
          <w:lang w:val="tr-TR"/>
        </w:rPr>
        <w:t>şu şekilde bir teyitte bulundu:</w:t>
      </w:r>
      <w:r w:rsidRPr="00707C13">
        <w:rPr>
          <w:rFonts w:ascii="Arial" w:hAnsi="Arial" w:cs="Arial"/>
          <w:i/>
          <w:sz w:val="20"/>
          <w:szCs w:val="20"/>
          <w:lang w:val="tr-TR"/>
        </w:rPr>
        <w:t xml:space="preserve"> "</w:t>
      </w:r>
      <w:r w:rsidR="00C67D7A">
        <w:rPr>
          <w:rFonts w:ascii="Arial" w:hAnsi="Arial" w:cs="Arial"/>
          <w:i/>
          <w:sz w:val="20"/>
          <w:szCs w:val="20"/>
          <w:lang w:val="tr-TR"/>
        </w:rPr>
        <w:t xml:space="preserve">Geçen üç senenin yarattığı ticari ivmenin </w:t>
      </w:r>
      <w:proofErr w:type="spellStart"/>
      <w:r w:rsidR="00C67D7A">
        <w:rPr>
          <w:rFonts w:ascii="Arial" w:hAnsi="Arial" w:cs="Arial"/>
          <w:i/>
          <w:sz w:val="20"/>
          <w:szCs w:val="20"/>
          <w:lang w:val="tr-TR"/>
        </w:rPr>
        <w:t>devm</w:t>
      </w:r>
      <w:proofErr w:type="spellEnd"/>
      <w:r w:rsidR="00C67D7A">
        <w:rPr>
          <w:rFonts w:ascii="Arial" w:hAnsi="Arial" w:cs="Arial"/>
          <w:i/>
          <w:sz w:val="20"/>
          <w:szCs w:val="20"/>
          <w:lang w:val="tr-TR"/>
        </w:rPr>
        <w:t xml:space="preserve"> ettirilmesi; 2015 ve 2016’da büyük oranda güncellenen ürün yelpazesi ve Hindistan ile Çin’deki genişlememiz 2016 senesinde hızlanacak ve tüm bölgelerdeki pozisyonumuzu daha da güçlendirecek</w:t>
      </w:r>
      <w:r w:rsidR="00C67D7A" w:rsidRPr="00707C13">
        <w:rPr>
          <w:rFonts w:ascii="Arial" w:hAnsi="Arial" w:cs="Arial"/>
          <w:i/>
          <w:sz w:val="20"/>
          <w:szCs w:val="20"/>
          <w:lang w:val="tr-TR"/>
        </w:rPr>
        <w:t xml:space="preserve"> </w:t>
      </w:r>
      <w:r w:rsidRPr="00707C13">
        <w:rPr>
          <w:rFonts w:ascii="Arial" w:hAnsi="Arial" w:cs="Arial"/>
          <w:i/>
          <w:sz w:val="20"/>
          <w:szCs w:val="20"/>
          <w:lang w:val="tr-TR"/>
        </w:rPr>
        <w:t>".</w:t>
      </w:r>
      <w:r w:rsidRPr="00707C13">
        <w:rPr>
          <w:rFonts w:ascii="Arial" w:hAnsi="Arial" w:cs="Arial"/>
          <w:sz w:val="20"/>
          <w:szCs w:val="20"/>
          <w:lang w:val="tr-TR"/>
        </w:rPr>
        <w:t xml:space="preserve"> </w:t>
      </w:r>
    </w:p>
    <w:bookmarkEnd w:id="0"/>
    <w:p w:rsidR="00BD04C8" w:rsidRPr="00041FB8" w:rsidRDefault="00BD04C8" w:rsidP="00DF1EA3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en-GB"/>
        </w:rPr>
      </w:pP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2B0607" w:rsidRPr="003724D3" w:rsidRDefault="002B0607" w:rsidP="00707C13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</w:rPr>
      </w:pPr>
    </w:p>
    <w:tbl>
      <w:tblPr>
        <w:tblW w:w="7967" w:type="dxa"/>
        <w:jc w:val="center"/>
        <w:tblLook w:val="04A0" w:firstRow="1" w:lastRow="0" w:firstColumn="1" w:lastColumn="0" w:noHBand="0" w:noVBand="1"/>
      </w:tblPr>
      <w:tblGrid>
        <w:gridCol w:w="3210"/>
        <w:gridCol w:w="1326"/>
        <w:gridCol w:w="2155"/>
        <w:gridCol w:w="1276"/>
      </w:tblGrid>
      <w:tr w:rsidR="002B0607" w:rsidRPr="00C67D7A" w:rsidTr="00C67D7A">
        <w:trPr>
          <w:trHeight w:val="255"/>
          <w:jc w:val="center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C67D7A" w:rsidP="00C67D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Bölgelere göre</w:t>
            </w:r>
            <w:r w:rsidRPr="00C67D7A">
              <w:rPr>
                <w:rFonts w:ascii="Arial" w:eastAsia="Times New Roman" w:hAnsi="Arial" w:cs="Arial"/>
                <w:bCs/>
                <w:sz w:val="20"/>
                <w:szCs w:val="20"/>
                <w:lang w:val="tr-TR"/>
              </w:rPr>
              <w:t xml:space="preserve"> </w:t>
            </w:r>
            <w:r w:rsidRPr="00C67D7A">
              <w:rPr>
                <w:rStyle w:val="Strong"/>
                <w:rFonts w:ascii="Arial" w:hAnsi="Arial" w:cs="Arial"/>
                <w:sz w:val="20"/>
                <w:szCs w:val="20"/>
                <w:lang w:val="tr-TR"/>
              </w:rPr>
              <w:t>Grup satışları (Binek Otomobil + Hafif Ticari Araç)</w:t>
            </w:r>
            <w:r w:rsidR="002B060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2B0607" w:rsidRPr="00C67D7A" w:rsidTr="00C67D7A">
        <w:trPr>
          <w:trHeight w:val="255"/>
          <w:jc w:val="center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C67D7A">
        <w:trPr>
          <w:trHeight w:val="255"/>
          <w:jc w:val="center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C67D7A">
        <w:trPr>
          <w:trHeight w:val="39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07" w:rsidRPr="00C67D7A" w:rsidRDefault="00C67D7A" w:rsidP="002B060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Aralık sonu itibariyle satışlar</w:t>
            </w:r>
            <w:r w:rsidR="002B060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*</w:t>
            </w:r>
          </w:p>
        </w:tc>
      </w:tr>
      <w:tr w:rsidR="002B0607" w:rsidRPr="00C67D7A" w:rsidTr="00C67D7A">
        <w:trPr>
          <w:trHeight w:val="450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C67D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% </w:t>
            </w:r>
            <w:r w:rsid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değişim</w:t>
            </w:r>
          </w:p>
        </w:tc>
      </w:tr>
      <w:tr w:rsidR="002B0607" w:rsidRPr="00C67D7A" w:rsidTr="00C67D7A">
        <w:trPr>
          <w:trHeight w:val="319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C67D7A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Fransa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607, 173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577, 606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5.1%</w:t>
            </w:r>
          </w:p>
        </w:tc>
      </w:tr>
      <w:tr w:rsidR="002B0607" w:rsidRPr="00C67D7A" w:rsidTr="00C67D7A">
        <w:trPr>
          <w:trHeight w:val="319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C67D7A" w:rsidP="00C67D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Avrupa</w:t>
            </w:r>
            <w:r w:rsidR="002B060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** (</w:t>
            </w: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Fransa hariç</w:t>
            </w:r>
            <w:r w:rsidR="002B060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1, 006, 326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887, 179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13.4%</w:t>
            </w:r>
          </w:p>
        </w:tc>
      </w:tr>
      <w:tr w:rsidR="002B0607" w:rsidRPr="00C67D7A" w:rsidTr="00C67D7A">
        <w:trPr>
          <w:trHeight w:val="319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C67D7A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Fransa</w:t>
            </w: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+ 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Avrupa</w:t>
            </w: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To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plamı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1, 613, 499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1, 464, 785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2B060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10.2%</w:t>
            </w:r>
          </w:p>
        </w:tc>
      </w:tr>
      <w:tr w:rsidR="002B0607" w:rsidRPr="00C67D7A" w:rsidTr="00C67D7A">
        <w:trPr>
          <w:trHeight w:val="319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C67D7A" w:rsidP="00876CA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Afrik</w:t>
            </w: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a, </w:t>
            </w: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Orta Doğu</w:t>
            </w:r>
            <w:r w:rsidRPr="00DF3D46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ve Hindistan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359, 858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307, 927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16.9%</w:t>
            </w:r>
          </w:p>
        </w:tc>
      </w:tr>
      <w:tr w:rsidR="002B0607" w:rsidRPr="00C67D7A" w:rsidTr="00C67D7A">
        <w:trPr>
          <w:trHeight w:val="319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C67D7A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Avrasya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356, 216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389, 704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-8.6%</w:t>
            </w:r>
          </w:p>
        </w:tc>
      </w:tr>
      <w:tr w:rsidR="002B0607" w:rsidRPr="00C67D7A" w:rsidTr="00C67D7A">
        <w:trPr>
          <w:trHeight w:val="319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C67D7A" w:rsidP="00876CA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Amerikalar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355, 151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416, 914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-14.8%</w:t>
            </w:r>
          </w:p>
        </w:tc>
      </w:tr>
      <w:tr w:rsidR="002B0607" w:rsidRPr="00C67D7A" w:rsidTr="00C67D7A">
        <w:trPr>
          <w:trHeight w:val="319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C67D7A" w:rsidP="00876CA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Asya Pasifik 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116, 868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133, 197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2B060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-12.3%</w:t>
            </w:r>
          </w:p>
        </w:tc>
      </w:tr>
      <w:tr w:rsidR="002B0607" w:rsidRPr="00C67D7A" w:rsidTr="00C67D7A">
        <w:trPr>
          <w:trHeight w:val="319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C67D7A" w:rsidP="00876CA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Toplam</w:t>
            </w: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Fransa hariç</w:t>
            </w:r>
            <w:r w:rsidRPr="00DF3D46"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+ 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Avrupa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1</w:t>
            </w:r>
            <w:r w:rsidR="00876CAA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188</w:t>
            </w:r>
            <w:r w:rsidR="00876CAA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093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1</w:t>
            </w:r>
            <w:r w:rsidR="00876CAA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247</w:t>
            </w:r>
            <w:r w:rsidR="00876CAA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876CAA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-4.</w:t>
            </w:r>
            <w:r w:rsidR="002B060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8%</w:t>
            </w:r>
          </w:p>
        </w:tc>
      </w:tr>
      <w:tr w:rsidR="00876CAA" w:rsidRPr="00C67D7A" w:rsidTr="00C67D7A">
        <w:trPr>
          <w:trHeight w:val="319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B0607" w:rsidRPr="00C67D7A" w:rsidRDefault="00C67D7A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  <w:lang w:val="tr-TR"/>
              </w:rPr>
              <w:t>Dünya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2</w:t>
            </w:r>
            <w:r w:rsidR="00876CAA"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, </w:t>
            </w:r>
            <w:r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801</w:t>
            </w:r>
            <w:r w:rsidR="00876CAA"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 xml:space="preserve"> 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2</w:t>
            </w:r>
            <w:r w:rsidR="00876CAA"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, </w:t>
            </w:r>
            <w:r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712</w:t>
            </w:r>
            <w:r w:rsidR="00876CAA"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 xml:space="preserve">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B0607" w:rsidRPr="00C67D7A" w:rsidRDefault="00876CAA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3.</w:t>
            </w:r>
            <w:r w:rsidR="002B0607"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3%</w:t>
            </w:r>
          </w:p>
        </w:tc>
      </w:tr>
      <w:tr w:rsidR="002B0607" w:rsidRPr="00C67D7A" w:rsidTr="00C67D7A">
        <w:trPr>
          <w:trHeight w:val="255"/>
          <w:jc w:val="center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C67D7A">
        <w:trPr>
          <w:trHeight w:val="255"/>
          <w:jc w:val="center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C67D7A">
        <w:trPr>
          <w:trHeight w:val="255"/>
          <w:jc w:val="center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876CAA" w:rsidP="00876CAA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* Sa</w:t>
            </w:r>
            <w:r w:rsidR="00C67D7A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tışlar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C67D7A">
        <w:trPr>
          <w:trHeight w:val="255"/>
          <w:jc w:val="center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C67D7A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**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</w:t>
            </w:r>
            <w:r w:rsid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Avrupa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= </w:t>
            </w:r>
            <w:r w:rsid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Avrupa Birliği, İzlanda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 Nor</w:t>
            </w:r>
            <w:r w:rsid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veç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&amp; </w:t>
            </w:r>
            <w:r w:rsid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İsviçre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</w:p>
        </w:tc>
      </w:tr>
    </w:tbl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3486"/>
        <w:gridCol w:w="1618"/>
        <w:gridCol w:w="1559"/>
        <w:gridCol w:w="141"/>
        <w:gridCol w:w="1134"/>
      </w:tblGrid>
      <w:tr w:rsidR="002B060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377C7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Markalara göre toplam satışlar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795F4E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                                                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F22D77">
        <w:trPr>
          <w:trHeight w:val="39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Aralık sonu itibariyle satışlar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2B060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</w:tr>
      <w:tr w:rsidR="00F22D77" w:rsidRPr="00C67D7A" w:rsidTr="00F22D77">
        <w:trPr>
          <w:trHeight w:val="450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% </w:t>
            </w:r>
            <w:r w:rsidR="00A930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değişim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RENAULT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</w:tr>
      <w:tr w:rsidR="00377C7D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BİNEK OTOMOBİL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822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965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811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377C7D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0.</w:t>
            </w:r>
            <w:r w:rsidR="002B060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6%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HAFİF TİCARİ ARAÇ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347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679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307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377C7D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13.</w:t>
            </w:r>
            <w:r w:rsidR="002B060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0%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BİNEK OTOMOBİL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HAFİF TİCARİ ARAÇ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170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119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377C7D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2.</w:t>
            </w:r>
            <w:r w:rsidR="002B060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4%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RENAULT SAMSUNG MOTORS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BİNEK OTOMOBİL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80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028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82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377C7D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-2.</w:t>
            </w:r>
            <w:r w:rsidR="002B060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6%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DACIA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BİNEK OTOMOBİL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511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510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474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377C7D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7.</w:t>
            </w:r>
            <w:r w:rsidR="002B060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8%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HAFİF TİCARİ ARAÇ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39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410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36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377C7D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7.</w:t>
            </w:r>
            <w:r w:rsidR="002B060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2%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BİNEK OTOMOBİL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HAFİF TİCARİ ARAÇ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550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920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511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377C7D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7.</w:t>
            </w:r>
            <w:r w:rsidR="002B060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7%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>RENAULT</w:t>
            </w:r>
            <w:r w:rsidR="00A930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tr-TR"/>
              </w:rPr>
              <w:t xml:space="preserve"> GRUBU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color w:val="FFFFFF"/>
                <w:sz w:val="20"/>
                <w:szCs w:val="20"/>
                <w:lang w:val="tr-TR"/>
              </w:rPr>
              <w:t> 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BİNEK OTOMOBİL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414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368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.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0%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HAFİF TİCARİ ARAÇ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387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089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344</w:t>
            </w:r>
            <w:r w:rsidR="00377C7D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377C7D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12.</w:t>
            </w:r>
            <w:r w:rsidR="002B060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4%</w:t>
            </w:r>
          </w:p>
        </w:tc>
      </w:tr>
      <w:tr w:rsidR="00F22D77" w:rsidRPr="00C67D7A" w:rsidTr="00F22D77">
        <w:trPr>
          <w:trHeight w:val="255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A93022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BİNEK OTOMOBİL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HAFİF TİCARİ ARAÇ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801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592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07" w:rsidRPr="00C67D7A" w:rsidRDefault="002B0607" w:rsidP="00377C7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712</w:t>
            </w:r>
            <w:r w:rsidR="00377C7D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07" w:rsidRPr="00C67D7A" w:rsidRDefault="00377C7D" w:rsidP="00F22D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3.</w:t>
            </w:r>
            <w:r w:rsidR="002B060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3%</w:t>
            </w:r>
          </w:p>
        </w:tc>
      </w:tr>
    </w:tbl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2B0607" w:rsidRPr="00C67D7A" w:rsidRDefault="00795F4E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                                                              </w:t>
      </w:r>
    </w:p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795F4E" w:rsidRPr="00C67D7A" w:rsidRDefault="00795F4E" w:rsidP="00795F4E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                                                              </w:t>
      </w:r>
    </w:p>
    <w:p w:rsidR="002B0607" w:rsidRPr="00C67D7A" w:rsidRDefault="00795F4E" w:rsidP="00795F4E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                                               </w:t>
      </w:r>
    </w:p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460"/>
        <w:gridCol w:w="3321"/>
        <w:gridCol w:w="1435"/>
        <w:gridCol w:w="2130"/>
      </w:tblGrid>
      <w:tr w:rsidR="002B0607" w:rsidRPr="00C67D7A" w:rsidTr="00F22D77">
        <w:trPr>
          <w:trHeight w:val="255"/>
          <w:jc w:val="center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A930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Renault Grubunun Aralık 2015 itibariyle 15 ana pazarı</w:t>
            </w: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F22D77">
        <w:trPr>
          <w:trHeight w:val="630"/>
          <w:jc w:val="center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Satışlar</w:t>
            </w:r>
            <w:r w:rsidR="002B0607" w:rsidRPr="00C67D7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2015*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A93022" w:rsidRDefault="00A93022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Pazar Payı</w:t>
            </w:r>
          </w:p>
          <w:p w:rsidR="002B0607" w:rsidRPr="00C67D7A" w:rsidRDefault="00A93022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BİNEK OTOMOBİL</w:t>
            </w:r>
            <w:r w:rsidR="00F22D77" w:rsidRPr="00C67D7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+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HAFİF TİCARİ ARAÇ</w:t>
            </w:r>
            <w:r w:rsidR="002B0607" w:rsidRPr="00C67D7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2015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3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607" w:rsidRPr="00C67D7A" w:rsidRDefault="00F22D77" w:rsidP="00A9302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(</w:t>
            </w:r>
            <w:r w:rsidR="00A9302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adet</w:t>
            </w:r>
            <w:r w:rsidR="002B0607" w:rsidRPr="00C67D7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(</w:t>
            </w:r>
            <w:r w:rsidR="002B0607" w:rsidRPr="00C67D7A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tr-TR"/>
              </w:rPr>
              <w:t>% )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FRANSA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607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173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26.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4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BREZİLYA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181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504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7.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3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ALMANYA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177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787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5.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2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TÜRKİYE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162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175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16.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8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İSPANYA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156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108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13.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İTALYA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154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730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9.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İNGİLTERE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128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269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4.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3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RUSYA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120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411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7.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5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CEZAYİR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90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182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35.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6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A9302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BEL</w:t>
            </w:r>
            <w:r w:rsidR="00A93022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ÇİKA+LÜKSEMBURG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82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374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13.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3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GÜNEY KORE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80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017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4.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4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AR</w:t>
            </w:r>
            <w:r w:rsidR="00A93022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JANİTN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79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383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12.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7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HİNDİSTAN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53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848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7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İ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RAN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51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500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F22D7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4.</w:t>
            </w:r>
            <w:r w:rsidR="002B060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8</w:t>
            </w:r>
          </w:p>
        </w:tc>
      </w:tr>
      <w:tr w:rsidR="002B0607" w:rsidRPr="00C67D7A" w:rsidTr="00F22D77">
        <w:trPr>
          <w:trHeight w:val="31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FAS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50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,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 xml:space="preserve"> 369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38</w:t>
            </w:r>
            <w:r w:rsidR="00F22D77"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.</w:t>
            </w:r>
            <w:r w:rsidRPr="00C67D7A">
              <w:rPr>
                <w:rFonts w:ascii="Calibri" w:eastAsia="Times New Roman" w:hAnsi="Calibri" w:cs="Arial"/>
                <w:sz w:val="24"/>
                <w:szCs w:val="24"/>
                <w:lang w:val="tr-TR"/>
              </w:rPr>
              <w:t>2</w:t>
            </w: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tr-T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A9302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tr-TR"/>
              </w:rPr>
            </w:pPr>
            <w:r w:rsidRPr="00C67D7A">
              <w:rPr>
                <w:rFonts w:ascii="Calibri" w:eastAsia="Times New Roman" w:hAnsi="Calibri" w:cs="Arial"/>
                <w:sz w:val="20"/>
                <w:szCs w:val="20"/>
                <w:lang w:val="tr-TR"/>
              </w:rPr>
              <w:t>*</w:t>
            </w:r>
            <w:r w:rsidR="00A93022">
              <w:rPr>
                <w:rFonts w:ascii="Calibri" w:eastAsia="Times New Roman" w:hAnsi="Calibri" w:cs="Arial"/>
                <w:sz w:val="20"/>
                <w:szCs w:val="20"/>
                <w:lang w:val="tr-TR"/>
              </w:rPr>
              <w:t xml:space="preserve">Rakamlar Aralık 2015 sonu itibariyle olup, </w:t>
            </w:r>
            <w:proofErr w:type="spellStart"/>
            <w:r w:rsidR="00A93022">
              <w:rPr>
                <w:rFonts w:ascii="Calibri" w:eastAsia="Times New Roman" w:hAnsi="Calibri" w:cs="Arial"/>
                <w:sz w:val="20"/>
                <w:szCs w:val="20"/>
                <w:lang w:val="tr-TR"/>
              </w:rPr>
              <w:t>Twizy</w:t>
            </w:r>
            <w:proofErr w:type="spellEnd"/>
            <w:r w:rsidR="00A93022">
              <w:rPr>
                <w:rFonts w:ascii="Calibri" w:eastAsia="Times New Roman" w:hAnsi="Calibri" w:cs="Arial"/>
                <w:sz w:val="20"/>
                <w:szCs w:val="20"/>
                <w:lang w:val="tr-TR"/>
              </w:rPr>
              <w:t xml:space="preserve"> hariçtir.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tr-TR"/>
              </w:rPr>
            </w:pPr>
          </w:p>
        </w:tc>
      </w:tr>
    </w:tbl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F22D77" w:rsidRPr="00C67D7A" w:rsidRDefault="00F22D77">
      <w:pPr>
        <w:rPr>
          <w:rFonts w:ascii="Arial" w:hAnsi="Arial" w:cs="Arial"/>
          <w:sz w:val="20"/>
          <w:szCs w:val="20"/>
          <w:lang w:val="tr-TR"/>
        </w:rPr>
      </w:pPr>
      <w:r w:rsidRPr="00C67D7A">
        <w:rPr>
          <w:rFonts w:ascii="Arial" w:hAnsi="Arial" w:cs="Arial"/>
          <w:sz w:val="20"/>
          <w:szCs w:val="20"/>
          <w:lang w:val="tr-TR"/>
        </w:rPr>
        <w:br w:type="page"/>
      </w:r>
    </w:p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6363" w:type="dxa"/>
        <w:jc w:val="center"/>
        <w:tblLook w:val="04A0" w:firstRow="1" w:lastRow="0" w:firstColumn="1" w:lastColumn="0" w:noHBand="0" w:noVBand="1"/>
      </w:tblPr>
      <w:tblGrid>
        <w:gridCol w:w="1560"/>
        <w:gridCol w:w="1051"/>
        <w:gridCol w:w="1051"/>
        <w:gridCol w:w="1762"/>
        <w:gridCol w:w="939"/>
      </w:tblGrid>
      <w:tr w:rsidR="002B0607" w:rsidRPr="00C67D7A" w:rsidTr="00F22D77">
        <w:trPr>
          <w:trHeight w:val="285"/>
          <w:jc w:val="center"/>
        </w:trPr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A93022" w:rsidRDefault="00A93022" w:rsidP="00A930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A93022">
              <w:rPr>
                <w:rFonts w:ascii="Arial" w:hAnsi="Arial" w:cs="Arial"/>
                <w:b/>
                <w:sz w:val="20"/>
                <w:szCs w:val="20"/>
                <w:lang w:val="tr-TR"/>
              </w:rPr>
              <w:t>Aralık 2015 sonu itibarıyla Grubun 5 en iyi binek otomobil satışı</w:t>
            </w:r>
            <w:r w:rsidRPr="00A93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val="tr-TR"/>
              </w:rPr>
            </w:pPr>
          </w:p>
        </w:tc>
      </w:tr>
      <w:tr w:rsidR="002B0607" w:rsidRPr="00C67D7A" w:rsidTr="00F22D77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A93022" w:rsidP="00F22D7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tr-TR"/>
              </w:rPr>
            </w:pPr>
            <w:r w:rsidRPr="00C67D7A">
              <w:rPr>
                <w:rFonts w:ascii="Calibri" w:eastAsia="Times New Roman" w:hAnsi="Calibri" w:cs="Arial"/>
                <w:b/>
                <w:bCs/>
                <w:color w:val="000000"/>
                <w:lang w:val="tr-TR"/>
              </w:rPr>
              <w:t>Renault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tr-TR"/>
              </w:rPr>
            </w:pPr>
            <w:r w:rsidRPr="00C67D7A">
              <w:rPr>
                <w:rFonts w:ascii="Calibri" w:eastAsia="Times New Roman" w:hAnsi="Calibri" w:cs="Arial"/>
                <w:b/>
                <w:bCs/>
                <w:color w:val="000000"/>
                <w:lang w:val="tr-TR"/>
              </w:rPr>
              <w:t>Dacia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tr-TR"/>
              </w:rPr>
            </w:pPr>
            <w:r w:rsidRPr="00C67D7A">
              <w:rPr>
                <w:rFonts w:ascii="Calibri" w:eastAsia="Times New Roman" w:hAnsi="Calibri" w:cs="Arial"/>
                <w:b/>
                <w:bCs/>
                <w:color w:val="000000"/>
                <w:lang w:val="tr-TR"/>
              </w:rPr>
              <w:t>RSM</w:t>
            </w: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Clio</w:t>
            </w:r>
            <w:proofErr w:type="spellEnd"/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372</w:t>
            </w:r>
            <w:r w:rsidR="00F22D7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062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372</w:t>
            </w:r>
            <w:r w:rsidR="00F22D7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062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Duster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331</w:t>
            </w:r>
            <w:r w:rsidR="00F22D7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238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168</w:t>
            </w:r>
            <w:r w:rsidR="00F22D7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900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162</w:t>
            </w:r>
            <w:r w:rsidR="00F22D7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Sandero</w:t>
            </w:r>
            <w:proofErr w:type="spellEnd"/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326</w:t>
            </w:r>
            <w:r w:rsidR="00F22D7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712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141</w:t>
            </w:r>
            <w:r w:rsidR="00F22D7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354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185</w:t>
            </w:r>
            <w:r w:rsidR="00F22D7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358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Logan</w:t>
            </w:r>
            <w:proofErr w:type="spellEnd"/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251</w:t>
            </w:r>
            <w:r w:rsidR="00F22D7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151</w:t>
            </w:r>
            <w:r w:rsidR="00F22D7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949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99</w:t>
            </w:r>
            <w:r w:rsidR="00F22D7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081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</w:tr>
      <w:tr w:rsidR="002B0607" w:rsidRPr="00C67D7A" w:rsidTr="00F22D77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Captur</w:t>
            </w:r>
            <w:proofErr w:type="spellEnd"/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/QM3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245</w:t>
            </w:r>
            <w:r w:rsidR="00F22D77"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 xml:space="preserve"> 126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220</w:t>
            </w:r>
            <w:r w:rsidR="00F22D7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567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07" w:rsidRPr="00C67D7A" w:rsidRDefault="002B0607" w:rsidP="00F22D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24</w:t>
            </w:r>
            <w:r w:rsidR="00F22D77"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,</w:t>
            </w:r>
            <w:r w:rsidRPr="00C67D7A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 559</w:t>
            </w:r>
          </w:p>
        </w:tc>
      </w:tr>
    </w:tbl>
    <w:p w:rsidR="002B0607" w:rsidRPr="00C67D7A" w:rsidRDefault="002B0607" w:rsidP="002B0607">
      <w:pPr>
        <w:spacing w:after="0" w:line="250" w:lineRule="auto"/>
        <w:ind w:left="1349" w:right="90"/>
        <w:jc w:val="both"/>
        <w:rPr>
          <w:rFonts w:ascii="Arial" w:hAnsi="Arial" w:cs="Arial"/>
          <w:sz w:val="20"/>
          <w:szCs w:val="20"/>
          <w:lang w:val="tr-TR"/>
        </w:rPr>
      </w:pP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707C13" w:rsidRPr="002B54AF" w:rsidRDefault="00707C13" w:rsidP="00707C13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2B0607" w:rsidRPr="00F22D77" w:rsidRDefault="002B0607" w:rsidP="002B0607">
      <w:pPr>
        <w:ind w:left="1418"/>
        <w:rPr>
          <w:rFonts w:ascii="Arial" w:eastAsia="Times New Roman" w:hAnsi="Arial" w:cs="Arial"/>
          <w:b/>
          <w:bCs/>
          <w:sz w:val="18"/>
          <w:szCs w:val="18"/>
        </w:rPr>
      </w:pPr>
    </w:p>
    <w:p w:rsidR="00B961D0" w:rsidRPr="002B54AF" w:rsidRDefault="00B961D0" w:rsidP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B961D0" w:rsidRPr="002B54AF" w:rsidRDefault="00B961D0" w:rsidP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B961D0" w:rsidRPr="002B54AF" w:rsidRDefault="00B961D0" w:rsidP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B961D0" w:rsidRPr="002B54AF" w:rsidRDefault="00B961D0" w:rsidP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B961D0" w:rsidRPr="002B54AF" w:rsidRDefault="00B961D0" w:rsidP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B961D0" w:rsidRPr="002B54AF" w:rsidRDefault="00B961D0" w:rsidP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B961D0" w:rsidRPr="002B54AF" w:rsidRDefault="00B961D0" w:rsidP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B961D0" w:rsidRPr="002B54AF" w:rsidRDefault="00B961D0" w:rsidP="00B961D0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2B0607" w:rsidRPr="00F22D77" w:rsidRDefault="002B0607" w:rsidP="002B0607">
      <w:pPr>
        <w:spacing w:after="0" w:line="250" w:lineRule="auto"/>
        <w:ind w:left="1418" w:right="90"/>
        <w:jc w:val="both"/>
        <w:rPr>
          <w:rFonts w:ascii="Arial" w:hAnsi="Arial" w:cs="Arial"/>
          <w:sz w:val="20"/>
          <w:szCs w:val="20"/>
        </w:rPr>
      </w:pPr>
    </w:p>
    <w:p w:rsidR="002B0607" w:rsidRPr="00F22D77" w:rsidRDefault="002B0607" w:rsidP="002B0607">
      <w:pPr>
        <w:spacing w:after="0" w:line="250" w:lineRule="auto"/>
        <w:ind w:left="1418" w:right="90"/>
        <w:jc w:val="both"/>
        <w:rPr>
          <w:rFonts w:ascii="Arial" w:hAnsi="Arial" w:cs="Arial"/>
          <w:sz w:val="20"/>
          <w:szCs w:val="20"/>
        </w:rPr>
      </w:pPr>
    </w:p>
    <w:p w:rsidR="002B0607" w:rsidRPr="00F22D77" w:rsidRDefault="002B0607" w:rsidP="002B0607">
      <w:pPr>
        <w:spacing w:after="0" w:line="250" w:lineRule="auto"/>
        <w:ind w:left="1418" w:right="90"/>
        <w:jc w:val="both"/>
        <w:rPr>
          <w:rFonts w:ascii="Arial" w:hAnsi="Arial" w:cs="Arial"/>
          <w:sz w:val="20"/>
          <w:szCs w:val="20"/>
        </w:rPr>
      </w:pPr>
    </w:p>
    <w:p w:rsidR="002B0607" w:rsidRDefault="002B0607" w:rsidP="00A93022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</w:rPr>
      </w:pPr>
    </w:p>
    <w:p w:rsidR="00A93022" w:rsidRDefault="00A93022" w:rsidP="00A93022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</w:rPr>
      </w:pPr>
    </w:p>
    <w:p w:rsidR="00A93022" w:rsidRDefault="00A93022" w:rsidP="00A93022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</w:rPr>
      </w:pPr>
    </w:p>
    <w:p w:rsidR="00A93022" w:rsidRDefault="00A93022" w:rsidP="00A93022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</w:rPr>
      </w:pPr>
    </w:p>
    <w:p w:rsidR="00A93022" w:rsidRDefault="00A93022" w:rsidP="00A93022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</w:rPr>
      </w:pPr>
    </w:p>
    <w:p w:rsidR="00A93022" w:rsidRDefault="00A93022" w:rsidP="00A93022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</w:rPr>
      </w:pPr>
    </w:p>
    <w:p w:rsidR="00A93022" w:rsidRDefault="00A93022" w:rsidP="00A93022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</w:rPr>
      </w:pPr>
    </w:p>
    <w:p w:rsidR="00A93022" w:rsidRPr="00F22D77" w:rsidRDefault="00A93022" w:rsidP="00A93022">
      <w:pPr>
        <w:spacing w:after="0" w:line="250" w:lineRule="auto"/>
        <w:ind w:right="90"/>
        <w:jc w:val="both"/>
        <w:rPr>
          <w:rFonts w:ascii="Arial" w:hAnsi="Arial" w:cs="Arial"/>
          <w:sz w:val="20"/>
          <w:szCs w:val="20"/>
        </w:rPr>
      </w:pPr>
    </w:p>
    <w:p w:rsidR="00296DBA" w:rsidRPr="00F22D77" w:rsidRDefault="00296DBA">
      <w:pPr>
        <w:spacing w:after="0" w:line="200" w:lineRule="exact"/>
        <w:rPr>
          <w:sz w:val="20"/>
          <w:szCs w:val="20"/>
        </w:rPr>
      </w:pPr>
    </w:p>
    <w:p w:rsidR="00296DBA" w:rsidRPr="00A93022" w:rsidRDefault="00A93022">
      <w:pPr>
        <w:spacing w:before="37" w:after="0" w:line="240" w:lineRule="auto"/>
        <w:ind w:left="1349" w:right="-20"/>
        <w:rPr>
          <w:rFonts w:ascii="Arial" w:eastAsia="Arial" w:hAnsi="Arial" w:cs="Arial"/>
          <w:sz w:val="18"/>
          <w:szCs w:val="18"/>
          <w:lang w:val="tr-TR"/>
        </w:rPr>
      </w:pPr>
      <w:r w:rsidRPr="00A93022">
        <w:rPr>
          <w:rFonts w:ascii="Arial" w:eastAsia="Arial" w:hAnsi="Arial" w:cs="Arial"/>
          <w:b/>
          <w:bCs/>
          <w:sz w:val="18"/>
          <w:szCs w:val="18"/>
          <w:lang w:val="tr-TR"/>
        </w:rPr>
        <w:t>DAHA FAZLA BİGİ İÇİN</w:t>
      </w:r>
      <w:r w:rsidR="003736F6" w:rsidRPr="00A93022">
        <w:rPr>
          <w:rFonts w:ascii="Arial" w:eastAsia="Arial" w:hAnsi="Arial" w:cs="Arial"/>
          <w:b/>
          <w:bCs/>
          <w:sz w:val="18"/>
          <w:szCs w:val="18"/>
          <w:lang w:val="tr-TR"/>
        </w:rPr>
        <w:t>:</w:t>
      </w:r>
    </w:p>
    <w:p w:rsidR="00296DBA" w:rsidRPr="00A93022" w:rsidRDefault="00F22D77">
      <w:pPr>
        <w:spacing w:before="14" w:after="0" w:line="240" w:lineRule="auto"/>
        <w:ind w:left="1349" w:right="-20"/>
        <w:rPr>
          <w:rFonts w:ascii="Arial" w:eastAsia="Arial" w:hAnsi="Arial" w:cs="Arial"/>
          <w:sz w:val="20"/>
          <w:szCs w:val="20"/>
          <w:lang w:val="tr-TR"/>
        </w:rPr>
      </w:pPr>
      <w:r w:rsidRPr="00A93022"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Helene </w:t>
      </w:r>
      <w:proofErr w:type="spellStart"/>
      <w:r w:rsidRPr="00A93022">
        <w:rPr>
          <w:rFonts w:ascii="Arial" w:eastAsia="Arial" w:hAnsi="Arial" w:cs="Arial"/>
          <w:b/>
          <w:bCs/>
          <w:sz w:val="20"/>
          <w:szCs w:val="20"/>
          <w:lang w:val="tr-TR"/>
        </w:rPr>
        <w:t>Mazier</w:t>
      </w:r>
      <w:proofErr w:type="spellEnd"/>
    </w:p>
    <w:p w:rsidR="00296DBA" w:rsidRPr="00A93022" w:rsidRDefault="00A93022">
      <w:pPr>
        <w:spacing w:before="10" w:after="0" w:line="240" w:lineRule="auto"/>
        <w:ind w:left="1349" w:right="-20"/>
        <w:rPr>
          <w:rFonts w:ascii="Arial" w:eastAsia="Arial" w:hAnsi="Arial" w:cs="Arial"/>
          <w:sz w:val="20"/>
          <w:szCs w:val="20"/>
          <w:lang w:val="tr-TR"/>
        </w:rPr>
      </w:pPr>
      <w:r w:rsidRPr="00A93022">
        <w:rPr>
          <w:rFonts w:ascii="Arial" w:eastAsia="Arial" w:hAnsi="Arial" w:cs="Arial"/>
          <w:sz w:val="20"/>
          <w:szCs w:val="20"/>
          <w:lang w:val="tr-TR"/>
        </w:rPr>
        <w:t>Basın Görevleri</w:t>
      </w:r>
    </w:p>
    <w:p w:rsidR="00296DBA" w:rsidRPr="00A93022" w:rsidRDefault="00F22D77">
      <w:pPr>
        <w:spacing w:before="10" w:after="0" w:line="240" w:lineRule="auto"/>
        <w:ind w:left="1349" w:right="-20"/>
        <w:rPr>
          <w:rFonts w:ascii="Arial" w:eastAsia="Arial" w:hAnsi="Arial" w:cs="Arial"/>
          <w:sz w:val="20"/>
          <w:szCs w:val="20"/>
          <w:lang w:val="tr-TR"/>
        </w:rPr>
      </w:pPr>
      <w:r w:rsidRPr="00A93022">
        <w:rPr>
          <w:rFonts w:ascii="Arial" w:eastAsia="Arial" w:hAnsi="Arial" w:cs="Arial"/>
          <w:sz w:val="20"/>
          <w:szCs w:val="20"/>
          <w:lang w:val="tr-TR"/>
        </w:rPr>
        <w:t>+33 1 76 84 39 59</w:t>
      </w:r>
    </w:p>
    <w:p w:rsidR="00296DBA" w:rsidRPr="00A93022" w:rsidRDefault="00296DBA">
      <w:pPr>
        <w:spacing w:before="8" w:after="0" w:line="240" w:lineRule="exact"/>
        <w:rPr>
          <w:sz w:val="24"/>
          <w:szCs w:val="24"/>
          <w:lang w:val="tr-TR"/>
        </w:rPr>
      </w:pPr>
    </w:p>
    <w:p w:rsidR="00296DBA" w:rsidRPr="00A93022" w:rsidRDefault="008F5A7B" w:rsidP="00EA4C31">
      <w:pPr>
        <w:spacing w:before="10" w:after="0" w:line="240" w:lineRule="auto"/>
        <w:ind w:left="1349" w:right="-20"/>
        <w:rPr>
          <w:rFonts w:ascii="Arial" w:eastAsia="Arial" w:hAnsi="Arial" w:cs="Arial"/>
          <w:sz w:val="16"/>
          <w:szCs w:val="16"/>
          <w:lang w:val="tr-TR"/>
        </w:rPr>
      </w:pPr>
      <w:r w:rsidRPr="00A93022">
        <w:rPr>
          <w:rFonts w:ascii="Arial" w:eastAsia="Arial" w:hAnsi="Arial" w:cs="Arial"/>
          <w:sz w:val="16"/>
          <w:szCs w:val="16"/>
          <w:lang w:val="tr-TR"/>
        </w:rPr>
        <w:t xml:space="preserve">Renault </w:t>
      </w:r>
      <w:r w:rsidR="00A93022" w:rsidRPr="00A93022">
        <w:rPr>
          <w:rFonts w:ascii="Arial" w:eastAsia="Arial" w:hAnsi="Arial" w:cs="Arial"/>
          <w:sz w:val="16"/>
          <w:szCs w:val="16"/>
          <w:lang w:val="tr-TR"/>
        </w:rPr>
        <w:t>Basın</w:t>
      </w:r>
      <w:r w:rsidRPr="00A93022">
        <w:rPr>
          <w:rFonts w:ascii="Arial" w:eastAsia="Arial" w:hAnsi="Arial" w:cs="Arial"/>
          <w:sz w:val="16"/>
          <w:szCs w:val="16"/>
          <w:lang w:val="tr-TR"/>
        </w:rPr>
        <w:t>: +33 1 76 84 63 36</w:t>
      </w:r>
    </w:p>
    <w:p w:rsidR="00296DBA" w:rsidRPr="00A93022" w:rsidRDefault="00130D09">
      <w:pPr>
        <w:spacing w:before="16" w:after="0" w:line="240" w:lineRule="auto"/>
        <w:ind w:left="1349" w:right="-20"/>
        <w:rPr>
          <w:rFonts w:ascii="Arial" w:eastAsia="Arial" w:hAnsi="Arial" w:cs="Arial"/>
          <w:sz w:val="16"/>
          <w:szCs w:val="16"/>
          <w:lang w:val="tr-TR"/>
        </w:rPr>
      </w:pPr>
      <w:r w:rsidRPr="00A93022">
        <w:rPr>
          <w:rFonts w:ascii="Arial" w:eastAsia="Arial" w:hAnsi="Arial" w:cs="Arial"/>
          <w:sz w:val="16"/>
          <w:szCs w:val="16"/>
          <w:lang w:val="tr-TR"/>
        </w:rPr>
        <w:t>Web</w:t>
      </w:r>
      <w:r w:rsidR="00A93022" w:rsidRPr="00A93022">
        <w:rPr>
          <w:rFonts w:ascii="Arial" w:eastAsia="Arial" w:hAnsi="Arial" w:cs="Arial"/>
          <w:sz w:val="16"/>
          <w:szCs w:val="16"/>
          <w:lang w:val="tr-TR"/>
        </w:rPr>
        <w:t xml:space="preserve"> </w:t>
      </w:r>
      <w:r w:rsidRPr="00A93022">
        <w:rPr>
          <w:rFonts w:ascii="Arial" w:eastAsia="Arial" w:hAnsi="Arial" w:cs="Arial"/>
          <w:sz w:val="16"/>
          <w:szCs w:val="16"/>
          <w:lang w:val="tr-TR"/>
        </w:rPr>
        <w:t>site</w:t>
      </w:r>
      <w:r w:rsidR="00A93022" w:rsidRPr="00A93022">
        <w:rPr>
          <w:rFonts w:ascii="Arial" w:eastAsia="Arial" w:hAnsi="Arial" w:cs="Arial"/>
          <w:sz w:val="16"/>
          <w:szCs w:val="16"/>
          <w:lang w:val="tr-TR"/>
        </w:rPr>
        <w:t>leri</w:t>
      </w:r>
      <w:r w:rsidRPr="00A93022">
        <w:rPr>
          <w:rFonts w:ascii="Arial" w:eastAsia="Arial" w:hAnsi="Arial" w:cs="Arial"/>
          <w:sz w:val="16"/>
          <w:szCs w:val="16"/>
          <w:lang w:val="tr-TR"/>
        </w:rPr>
        <w:t>: group.renault.com/en</w:t>
      </w:r>
    </w:p>
    <w:p w:rsidR="00296DBA" w:rsidRPr="00A93022" w:rsidRDefault="00A93022">
      <w:pPr>
        <w:spacing w:before="16" w:after="0" w:line="240" w:lineRule="auto"/>
        <w:ind w:left="1349" w:right="-20"/>
        <w:rPr>
          <w:rFonts w:ascii="Arial" w:eastAsia="Arial" w:hAnsi="Arial" w:cs="Arial"/>
          <w:sz w:val="16"/>
          <w:szCs w:val="16"/>
          <w:lang w:val="tr-TR"/>
        </w:rPr>
      </w:pPr>
      <w:r w:rsidRPr="00A93022">
        <w:rPr>
          <w:rFonts w:ascii="Arial" w:eastAsia="Arial" w:hAnsi="Arial" w:cs="Arial"/>
          <w:sz w:val="16"/>
          <w:szCs w:val="16"/>
          <w:lang w:val="tr-TR"/>
        </w:rPr>
        <w:t xml:space="preserve">Bizi </w:t>
      </w:r>
      <w:proofErr w:type="spellStart"/>
      <w:r w:rsidRPr="00A93022">
        <w:rPr>
          <w:rFonts w:ascii="Arial" w:eastAsia="Arial" w:hAnsi="Arial" w:cs="Arial"/>
          <w:sz w:val="16"/>
          <w:szCs w:val="16"/>
          <w:lang w:val="tr-TR"/>
        </w:rPr>
        <w:t>Twitter’da</w:t>
      </w:r>
      <w:proofErr w:type="spellEnd"/>
      <w:r w:rsidRPr="00A93022">
        <w:rPr>
          <w:rFonts w:ascii="Arial" w:eastAsia="Arial" w:hAnsi="Arial" w:cs="Arial"/>
          <w:sz w:val="16"/>
          <w:szCs w:val="16"/>
          <w:lang w:val="tr-TR"/>
        </w:rPr>
        <w:t xml:space="preserve"> takip edin:</w:t>
      </w:r>
      <w:r w:rsidR="008F5A7B" w:rsidRPr="00A93022">
        <w:rPr>
          <w:rFonts w:ascii="Arial" w:eastAsia="Arial" w:hAnsi="Arial" w:cs="Arial"/>
          <w:sz w:val="16"/>
          <w:szCs w:val="16"/>
          <w:lang w:val="tr-TR"/>
        </w:rPr>
        <w:t xml:space="preserve"> @</w:t>
      </w:r>
      <w:proofErr w:type="spellStart"/>
      <w:r w:rsidR="008F5A7B" w:rsidRPr="00A93022">
        <w:rPr>
          <w:rFonts w:ascii="Arial" w:eastAsia="Arial" w:hAnsi="Arial" w:cs="Arial"/>
          <w:sz w:val="16"/>
          <w:szCs w:val="16"/>
          <w:lang w:val="tr-TR"/>
        </w:rPr>
        <w:t>Groupe</w:t>
      </w:r>
      <w:r w:rsidR="00130D09" w:rsidRPr="00A93022">
        <w:rPr>
          <w:rFonts w:ascii="Arial" w:eastAsia="Arial" w:hAnsi="Arial" w:cs="Arial"/>
          <w:sz w:val="16"/>
          <w:szCs w:val="16"/>
          <w:lang w:val="tr-TR"/>
        </w:rPr>
        <w:t>_</w:t>
      </w:r>
      <w:r w:rsidR="008F5A7B" w:rsidRPr="00A93022">
        <w:rPr>
          <w:rFonts w:ascii="Arial" w:eastAsia="Arial" w:hAnsi="Arial" w:cs="Arial"/>
          <w:sz w:val="16"/>
          <w:szCs w:val="16"/>
          <w:lang w:val="tr-TR"/>
        </w:rPr>
        <w:t>Renault</w:t>
      </w:r>
      <w:proofErr w:type="spellEnd"/>
    </w:p>
    <w:p w:rsidR="00A93022" w:rsidRPr="002B54AF" w:rsidRDefault="00A93022" w:rsidP="00A93022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A93022" w:rsidRPr="002B54AF" w:rsidRDefault="00A93022" w:rsidP="00A93022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A93022" w:rsidRPr="002B54AF" w:rsidRDefault="00A93022" w:rsidP="00A93022">
      <w:pPr>
        <w:spacing w:after="0" w:line="250" w:lineRule="auto"/>
        <w:ind w:left="1349" w:right="90"/>
        <w:jc w:val="both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</w:t>
      </w:r>
    </w:p>
    <w:p w:rsidR="00B961D0" w:rsidRPr="00041FB8" w:rsidRDefault="00B961D0">
      <w:pPr>
        <w:spacing w:before="16" w:after="0" w:line="240" w:lineRule="auto"/>
        <w:ind w:left="1349" w:right="-20"/>
        <w:rPr>
          <w:rFonts w:ascii="Arial" w:eastAsia="Arial" w:hAnsi="Arial" w:cs="Arial"/>
          <w:sz w:val="16"/>
          <w:szCs w:val="16"/>
          <w:lang w:val="en-GB"/>
        </w:rPr>
      </w:pPr>
    </w:p>
    <w:sectPr w:rsidR="00B961D0" w:rsidRPr="00041FB8" w:rsidSect="00A04766">
      <w:headerReference w:type="default" r:id="rId11"/>
      <w:pgSz w:w="11920" w:h="16840"/>
      <w:pgMar w:top="960" w:right="460" w:bottom="280" w:left="4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1A" w:rsidRDefault="00D1711A">
      <w:pPr>
        <w:spacing w:after="0" w:line="240" w:lineRule="auto"/>
      </w:pPr>
      <w:r>
        <w:separator/>
      </w:r>
    </w:p>
  </w:endnote>
  <w:endnote w:type="continuationSeparator" w:id="0">
    <w:p w:rsidR="00D1711A" w:rsidRDefault="00D1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1A" w:rsidRDefault="00D1711A">
      <w:pPr>
        <w:spacing w:after="0" w:line="240" w:lineRule="auto"/>
      </w:pPr>
      <w:r>
        <w:separator/>
      </w:r>
    </w:p>
  </w:footnote>
  <w:footnote w:type="continuationSeparator" w:id="0">
    <w:p w:rsidR="00D1711A" w:rsidRDefault="00D1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C5" w:rsidRDefault="003E4EC5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0959C81E" wp14:editId="545EE803">
          <wp:simplePos x="0" y="0"/>
          <wp:positionH relativeFrom="page">
            <wp:posOffset>6263640</wp:posOffset>
          </wp:positionH>
          <wp:positionV relativeFrom="page">
            <wp:posOffset>359410</wp:posOffset>
          </wp:positionV>
          <wp:extent cx="935990" cy="259080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57F78F02" wp14:editId="4F362A59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634490" cy="1714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F6E"/>
    <w:multiLevelType w:val="hybridMultilevel"/>
    <w:tmpl w:val="49E6753A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" w15:restartNumberingAfterBreak="0">
    <w:nsid w:val="5A23393D"/>
    <w:multiLevelType w:val="hybridMultilevel"/>
    <w:tmpl w:val="340294EE"/>
    <w:lvl w:ilvl="0" w:tplc="5A141D8C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B115604"/>
    <w:multiLevelType w:val="hybridMultilevel"/>
    <w:tmpl w:val="393E4E06"/>
    <w:lvl w:ilvl="0" w:tplc="040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BA"/>
    <w:rsid w:val="000073F2"/>
    <w:rsid w:val="0001738C"/>
    <w:rsid w:val="00022F34"/>
    <w:rsid w:val="0002409E"/>
    <w:rsid w:val="00041FB8"/>
    <w:rsid w:val="0006617C"/>
    <w:rsid w:val="00073209"/>
    <w:rsid w:val="000753F3"/>
    <w:rsid w:val="000859B8"/>
    <w:rsid w:val="00093353"/>
    <w:rsid w:val="000A7F46"/>
    <w:rsid w:val="000C2F90"/>
    <w:rsid w:val="000C32FA"/>
    <w:rsid w:val="000F3F7D"/>
    <w:rsid w:val="000F54E2"/>
    <w:rsid w:val="000F6230"/>
    <w:rsid w:val="00114270"/>
    <w:rsid w:val="00124AD2"/>
    <w:rsid w:val="00130D09"/>
    <w:rsid w:val="00155E58"/>
    <w:rsid w:val="00170932"/>
    <w:rsid w:val="001866B7"/>
    <w:rsid w:val="001A244B"/>
    <w:rsid w:val="001A24E5"/>
    <w:rsid w:val="001A4660"/>
    <w:rsid w:val="001A7332"/>
    <w:rsid w:val="001B1708"/>
    <w:rsid w:val="001B248E"/>
    <w:rsid w:val="001C2111"/>
    <w:rsid w:val="001E2BAA"/>
    <w:rsid w:val="001E2EBB"/>
    <w:rsid w:val="001F676F"/>
    <w:rsid w:val="00225841"/>
    <w:rsid w:val="00226B28"/>
    <w:rsid w:val="00234354"/>
    <w:rsid w:val="0023497A"/>
    <w:rsid w:val="002351B6"/>
    <w:rsid w:val="002530C8"/>
    <w:rsid w:val="00295156"/>
    <w:rsid w:val="00296DBA"/>
    <w:rsid w:val="002A6CBF"/>
    <w:rsid w:val="002B0607"/>
    <w:rsid w:val="002B54AF"/>
    <w:rsid w:val="002C4CED"/>
    <w:rsid w:val="002D7484"/>
    <w:rsid w:val="002F33C3"/>
    <w:rsid w:val="002F7C11"/>
    <w:rsid w:val="00300C13"/>
    <w:rsid w:val="003030C0"/>
    <w:rsid w:val="0031412C"/>
    <w:rsid w:val="00330C74"/>
    <w:rsid w:val="00347F6F"/>
    <w:rsid w:val="00365F52"/>
    <w:rsid w:val="0036790D"/>
    <w:rsid w:val="003724D3"/>
    <w:rsid w:val="003736F6"/>
    <w:rsid w:val="00377C7D"/>
    <w:rsid w:val="00384B7E"/>
    <w:rsid w:val="00395A69"/>
    <w:rsid w:val="003A0DDE"/>
    <w:rsid w:val="003B010B"/>
    <w:rsid w:val="003C107B"/>
    <w:rsid w:val="003D09F9"/>
    <w:rsid w:val="003D1DB5"/>
    <w:rsid w:val="003D4FB1"/>
    <w:rsid w:val="003E38D9"/>
    <w:rsid w:val="003E4E48"/>
    <w:rsid w:val="003E4EC5"/>
    <w:rsid w:val="00425577"/>
    <w:rsid w:val="0043266D"/>
    <w:rsid w:val="004450C0"/>
    <w:rsid w:val="00462CB8"/>
    <w:rsid w:val="004636E6"/>
    <w:rsid w:val="00464147"/>
    <w:rsid w:val="00464C17"/>
    <w:rsid w:val="00476FE1"/>
    <w:rsid w:val="00491132"/>
    <w:rsid w:val="00493A72"/>
    <w:rsid w:val="004A2DD1"/>
    <w:rsid w:val="004A40C2"/>
    <w:rsid w:val="004C7B13"/>
    <w:rsid w:val="004E4857"/>
    <w:rsid w:val="004E7AB3"/>
    <w:rsid w:val="004F41A6"/>
    <w:rsid w:val="004F67F1"/>
    <w:rsid w:val="00512E37"/>
    <w:rsid w:val="005213B2"/>
    <w:rsid w:val="00530EBB"/>
    <w:rsid w:val="005417DC"/>
    <w:rsid w:val="00543146"/>
    <w:rsid w:val="00545801"/>
    <w:rsid w:val="00590A42"/>
    <w:rsid w:val="005A543A"/>
    <w:rsid w:val="005B714B"/>
    <w:rsid w:val="005C1D29"/>
    <w:rsid w:val="005F79F4"/>
    <w:rsid w:val="00607FA8"/>
    <w:rsid w:val="00636DF4"/>
    <w:rsid w:val="00640853"/>
    <w:rsid w:val="0066183E"/>
    <w:rsid w:val="00666EA6"/>
    <w:rsid w:val="006C0091"/>
    <w:rsid w:val="006F7C13"/>
    <w:rsid w:val="00707C13"/>
    <w:rsid w:val="007118D2"/>
    <w:rsid w:val="007470E5"/>
    <w:rsid w:val="00752EDA"/>
    <w:rsid w:val="00757790"/>
    <w:rsid w:val="007771A0"/>
    <w:rsid w:val="00780DCB"/>
    <w:rsid w:val="00781CCA"/>
    <w:rsid w:val="00781FCE"/>
    <w:rsid w:val="00790F8C"/>
    <w:rsid w:val="00793002"/>
    <w:rsid w:val="00793D9C"/>
    <w:rsid w:val="00795F4E"/>
    <w:rsid w:val="0079691A"/>
    <w:rsid w:val="007B11C9"/>
    <w:rsid w:val="007C155D"/>
    <w:rsid w:val="007D4BA0"/>
    <w:rsid w:val="007E4866"/>
    <w:rsid w:val="007E657C"/>
    <w:rsid w:val="007F4254"/>
    <w:rsid w:val="007F7BE9"/>
    <w:rsid w:val="0080377F"/>
    <w:rsid w:val="00804B67"/>
    <w:rsid w:val="008075D9"/>
    <w:rsid w:val="008159F6"/>
    <w:rsid w:val="00820D05"/>
    <w:rsid w:val="00824A0D"/>
    <w:rsid w:val="008307F8"/>
    <w:rsid w:val="00831A69"/>
    <w:rsid w:val="008401B0"/>
    <w:rsid w:val="008436C0"/>
    <w:rsid w:val="00864A2E"/>
    <w:rsid w:val="00866186"/>
    <w:rsid w:val="00876CAA"/>
    <w:rsid w:val="0089158C"/>
    <w:rsid w:val="008B276E"/>
    <w:rsid w:val="008C2C6A"/>
    <w:rsid w:val="008C3488"/>
    <w:rsid w:val="008D0EAD"/>
    <w:rsid w:val="008E50F1"/>
    <w:rsid w:val="008F1194"/>
    <w:rsid w:val="008F3483"/>
    <w:rsid w:val="008F5A7B"/>
    <w:rsid w:val="008F6440"/>
    <w:rsid w:val="0090043C"/>
    <w:rsid w:val="00923B9C"/>
    <w:rsid w:val="00931A35"/>
    <w:rsid w:val="00932DFF"/>
    <w:rsid w:val="009405ED"/>
    <w:rsid w:val="00941246"/>
    <w:rsid w:val="009427E2"/>
    <w:rsid w:val="009433FC"/>
    <w:rsid w:val="00944B46"/>
    <w:rsid w:val="009520F1"/>
    <w:rsid w:val="0095544F"/>
    <w:rsid w:val="009878A1"/>
    <w:rsid w:val="00990792"/>
    <w:rsid w:val="0099175E"/>
    <w:rsid w:val="00994476"/>
    <w:rsid w:val="009A071C"/>
    <w:rsid w:val="009C2ACC"/>
    <w:rsid w:val="009C5112"/>
    <w:rsid w:val="009D6904"/>
    <w:rsid w:val="00A00DD5"/>
    <w:rsid w:val="00A04766"/>
    <w:rsid w:val="00A07246"/>
    <w:rsid w:val="00A332C9"/>
    <w:rsid w:val="00A36B70"/>
    <w:rsid w:val="00A61363"/>
    <w:rsid w:val="00A614E7"/>
    <w:rsid w:val="00A63EB5"/>
    <w:rsid w:val="00A712AA"/>
    <w:rsid w:val="00A92650"/>
    <w:rsid w:val="00A92E09"/>
    <w:rsid w:val="00A93022"/>
    <w:rsid w:val="00A94BA4"/>
    <w:rsid w:val="00AF2439"/>
    <w:rsid w:val="00AF65DE"/>
    <w:rsid w:val="00B0016E"/>
    <w:rsid w:val="00B004B3"/>
    <w:rsid w:val="00B12F7C"/>
    <w:rsid w:val="00B3171D"/>
    <w:rsid w:val="00B3495A"/>
    <w:rsid w:val="00B60382"/>
    <w:rsid w:val="00B7019B"/>
    <w:rsid w:val="00B961D0"/>
    <w:rsid w:val="00BB3327"/>
    <w:rsid w:val="00BB5E11"/>
    <w:rsid w:val="00BC1076"/>
    <w:rsid w:val="00BC7A17"/>
    <w:rsid w:val="00BD04C8"/>
    <w:rsid w:val="00BD2614"/>
    <w:rsid w:val="00BF7376"/>
    <w:rsid w:val="00C01143"/>
    <w:rsid w:val="00C01CD3"/>
    <w:rsid w:val="00C27F23"/>
    <w:rsid w:val="00C4795E"/>
    <w:rsid w:val="00C67528"/>
    <w:rsid w:val="00C67D7A"/>
    <w:rsid w:val="00C75FA2"/>
    <w:rsid w:val="00C81F12"/>
    <w:rsid w:val="00C823F4"/>
    <w:rsid w:val="00C85B2E"/>
    <w:rsid w:val="00C915AD"/>
    <w:rsid w:val="00C948A7"/>
    <w:rsid w:val="00CA31DB"/>
    <w:rsid w:val="00CA448A"/>
    <w:rsid w:val="00CD62C2"/>
    <w:rsid w:val="00CE5B86"/>
    <w:rsid w:val="00D004CC"/>
    <w:rsid w:val="00D10DC5"/>
    <w:rsid w:val="00D1575B"/>
    <w:rsid w:val="00D1711A"/>
    <w:rsid w:val="00D47A64"/>
    <w:rsid w:val="00D51702"/>
    <w:rsid w:val="00D62AB1"/>
    <w:rsid w:val="00D62EE7"/>
    <w:rsid w:val="00D63CA4"/>
    <w:rsid w:val="00D65D64"/>
    <w:rsid w:val="00D677EA"/>
    <w:rsid w:val="00D67DBF"/>
    <w:rsid w:val="00D8068F"/>
    <w:rsid w:val="00D8640E"/>
    <w:rsid w:val="00DB1EDF"/>
    <w:rsid w:val="00DC1EDF"/>
    <w:rsid w:val="00DF101A"/>
    <w:rsid w:val="00DF16F3"/>
    <w:rsid w:val="00DF1EA3"/>
    <w:rsid w:val="00DF1F68"/>
    <w:rsid w:val="00E00F10"/>
    <w:rsid w:val="00E05864"/>
    <w:rsid w:val="00E216BF"/>
    <w:rsid w:val="00E269D4"/>
    <w:rsid w:val="00E477F5"/>
    <w:rsid w:val="00E5063E"/>
    <w:rsid w:val="00E53E9D"/>
    <w:rsid w:val="00E54937"/>
    <w:rsid w:val="00E903C0"/>
    <w:rsid w:val="00EA062E"/>
    <w:rsid w:val="00EA4C31"/>
    <w:rsid w:val="00EB35AF"/>
    <w:rsid w:val="00EB60A3"/>
    <w:rsid w:val="00EC3BC2"/>
    <w:rsid w:val="00EC5C85"/>
    <w:rsid w:val="00EC7E4C"/>
    <w:rsid w:val="00ED3D69"/>
    <w:rsid w:val="00ED3E01"/>
    <w:rsid w:val="00EE03EB"/>
    <w:rsid w:val="00EE60E0"/>
    <w:rsid w:val="00EF7FF6"/>
    <w:rsid w:val="00F039DB"/>
    <w:rsid w:val="00F07287"/>
    <w:rsid w:val="00F21C96"/>
    <w:rsid w:val="00F22D77"/>
    <w:rsid w:val="00F61685"/>
    <w:rsid w:val="00F66F9A"/>
    <w:rsid w:val="00FA52B0"/>
    <w:rsid w:val="00FB48A0"/>
    <w:rsid w:val="00FC2E3B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F732A"/>
  <w15:docId w15:val="{DCB1A22C-DFD3-48F6-B397-6147BEF6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1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16E"/>
    <w:rPr>
      <w:b/>
      <w:bCs/>
    </w:rPr>
  </w:style>
  <w:style w:type="paragraph" w:customStyle="1" w:styleId="Sous-titre2">
    <w:name w:val="Sous-titre2"/>
    <w:basedOn w:val="Normal"/>
    <w:rsid w:val="00B0016E"/>
    <w:pPr>
      <w:widowControl/>
      <w:spacing w:before="225" w:after="225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LightShading-Accent1">
    <w:name w:val="Light Shading Accent 1"/>
    <w:basedOn w:val="TableNormal"/>
    <w:uiPriority w:val="60"/>
    <w:rsid w:val="00B0016E"/>
    <w:pPr>
      <w:widowControl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1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0EBB"/>
    <w:pPr>
      <w:widowControl/>
      <w:spacing w:after="0" w:line="240" w:lineRule="auto"/>
    </w:pPr>
  </w:style>
  <w:style w:type="character" w:customStyle="1" w:styleId="subtitle1">
    <w:name w:val="subtitle1"/>
    <w:basedOn w:val="DefaultParagraphFont"/>
    <w:rsid w:val="007E657C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Content Type Event Receiver</Name>
    <Synchronization>Asynchronous</Synchronization>
    <Type>10503</Type>
    <SequenceNumber>1000</SequenceNumber>
    <Assembly>RNAlliance.SharePoint.ACP.Layers, Version=1.0.0.0, Culture=neutral, PublicKeyToken=e2530ddecd8f1478</Assembly>
    <Class>RNAlliance.SharePoint.ACP.Layers.Service.BaseCopyEventReceivers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P_Renault_ExpirationDate xmlns="http://schemas.microsoft.com/sharepoint/v3" xsi:nil="true"/>
    <ACP_Renault_RelevantRegion_TaxHT0 xmlns="http://schemas.microsoft.com/sharepoint/v3">
      <Terms xmlns="http://schemas.microsoft.com/office/infopath/2007/PartnerControls"/>
    </ACP_Renault_RelevantRegion_TaxHT0>
    <ACP_Renault_DocumentType_TaxHT0 xmlns="http://schemas.microsoft.com/sharepoint/v3">
      <Terms xmlns="http://schemas.microsoft.com/office/infopath/2007/PartnerControls"/>
    </ACP_Renault_DocumentType_TaxHT0>
    <TaxCatchAll xmlns="64bebfd7-c037-4759-9b38-e825e441c157"/>
    <ACP_OwnerOrganization_TaxHT0 xmlns="http://schemas.microsoft.com/sharepoint/v3">
      <Terms xmlns="http://schemas.microsoft.com/office/infopath/2007/PartnerControls"/>
    </ACP_OwnerOrganization_TaxHT0>
    <ACP_Renault_SecurityClassification_TaxHT0 xmlns="http://schemas.microsoft.com/sharepoint/v3">
      <Terms xmlns="http://schemas.microsoft.com/office/infopath/2007/PartnerControls"/>
    </ACP_Renault_SecurityClassification_TaxHT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nault Document" ma:contentTypeID="0x01010066E3D1BD537B466A9FB4715B858074E900899E04623FB743D2ABDA955F9C2B667700BDE1E557D99C934AAF21072E049BB130" ma:contentTypeVersion="18" ma:contentTypeDescription="Create a new Renault document." ma:contentTypeScope="" ma:versionID="5fc65ebd21726547d036e6392a9ac1cd">
  <xsd:schema xmlns:xsd="http://www.w3.org/2001/XMLSchema" xmlns:xs="http://www.w3.org/2001/XMLSchema" xmlns:p="http://schemas.microsoft.com/office/2006/metadata/properties" xmlns:ns1="http://schemas.microsoft.com/sharepoint/v3" xmlns:ns2="64bebfd7-c037-4759-9b38-e825e441c157" targetNamespace="http://schemas.microsoft.com/office/2006/metadata/properties" ma:root="true" ma:fieldsID="b9f5fc333520296c52e2aa7ad431bd6f" ns1:_="" ns2:_="">
    <xsd:import namespace="http://schemas.microsoft.com/sharepoint/v3"/>
    <xsd:import namespace="64bebfd7-c037-4759-9b38-e825e441c157"/>
    <xsd:element name="properties">
      <xsd:complexType>
        <xsd:sequence>
          <xsd:element name="documentManagement">
            <xsd:complexType>
              <xsd:all>
                <xsd:element ref="ns1:ACP_OwnerOrganization_TaxHT0" minOccurs="0"/>
                <xsd:element ref="ns1:ACP_Renault_SecurityClassification_TaxHT0" minOccurs="0"/>
                <xsd:element ref="ns1:ACP_Renault_RelevantRegion_TaxHT0" minOccurs="0"/>
                <xsd:element ref="ns1:ACP_Renault_DocumentType_TaxHT0" minOccurs="0"/>
                <xsd:element ref="ns1:ACP_Renault_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CP_OwnerOrganization_TaxHT0" ma:index="9" nillable="true" ma:taxonomy="true" ma:internalName="ACP_OwnerOrganization_TaxHT0" ma:taxonomyFieldName="ACP_OwnerOrganization" ma:displayName="Owner Organization" ma:readOnly="false" ma:fieldId="{b2f944ca-d7b4-479f-83be-7a711dbb0010}" ma:sspId="13a7ba8c-7457-4356-a6e9-e6f891afc8fd" ma:termSetId="71a8f656-dccb-4916-8370-91b3a5cc5b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SecurityClassification_TaxHT0" ma:index="11" nillable="true" ma:taxonomy="true" ma:internalName="ACP_Renault_SecurityClassification_TaxHT0" ma:taxonomyFieldName="ACP_Renault_SecurityClassification" ma:displayName="Security Classification" ma:readOnly="false" ma:fieldId="{1fe3dde9-5599-430d-9249-906cb7133fa1}" ma:sspId="13a7ba8c-7457-4356-a6e9-e6f891afc8fd" ma:termSetId="2e709ad7-3269-4298-a893-fa3c9641f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RelevantRegion_TaxHT0" ma:index="13" nillable="true" ma:taxonomy="true" ma:internalName="ACP_Renault_RelevantRegion_TaxHT0" ma:taxonomyFieldName="ACP_Renault_RelevantRegion" ma:displayName="Relevant Region" ma:readOnly="false" ma:fieldId="{d64cf655-2379-4890-ab5b-d3321d30528e}" ma:sspId="13a7ba8c-7457-4356-a6e9-e6f891afc8fd" ma:termSetId="4b81f2c5-3f4e-40a0-bf90-01b0cb8bee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DocumentType_TaxHT0" ma:index="15" nillable="true" ma:taxonomy="true" ma:internalName="ACP_Renault_DocumentType_TaxHT0" ma:taxonomyFieldName="ACP_Renault_DocumentType" ma:displayName="Document Type" ma:readOnly="false" ma:fieldId="{05c1c4e8-8423-4693-876e-411f294059ad}" ma:sspId="13a7ba8c-7457-4356-a6e9-e6f891afc8fd" ma:termSetId="2d5155ef-5bfc-46c0-bd2b-77b51f4890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ExpirationDate" ma:index="16" nillable="true" ma:displayName="Expiration Date" ma:description="Indicates the document Expiration Date." ma:format="DateOnly" ma:hidden="true" ma:internalName="ACP_Renault_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bfd7-c037-4759-9b38-e825e441c1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bffc78b5-cd8d-45a7-b563-40693bcb85b7}" ma:internalName="TaxCatchAll" ma:showField="CatchAllData" ma:web="64bebfd7-c037-4759-9b38-e825e441c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9CDB4-88DA-41B3-BA53-D5A86133EC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3D43DA-5654-44C0-9F70-4A99E8FC9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C1926-0DC1-490C-83D5-731B7EF8B1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bebfd7-c037-4759-9b38-e825e441c157"/>
  </ds:schemaRefs>
</ds:datastoreItem>
</file>

<file path=customXml/itemProps4.xml><?xml version="1.0" encoding="utf-8"?>
<ds:datastoreItem xmlns:ds="http://schemas.openxmlformats.org/officeDocument/2006/customXml" ds:itemID="{7607E552-EF4D-4216-8645-AE8C4613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bebfd7-c037-4759-9b38-e825e441c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2332</Words>
  <Characters>13296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type Group Press Release</vt:lpstr>
      <vt:lpstr>Document type Group Press Release</vt:lpstr>
      <vt:lpstr>Document type Group Press Release</vt:lpstr>
    </vt:vector>
  </TitlesOfParts>
  <Company>Hewlett-Packard Company</Company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Group Press Release</dc:title>
  <dc:creator>MAZIER Helene</dc:creator>
  <cp:lastModifiedBy>Fulya ÖZKAN</cp:lastModifiedBy>
  <cp:revision>3</cp:revision>
  <cp:lastPrinted>2016-01-18T13:17:00Z</cp:lastPrinted>
  <dcterms:created xsi:type="dcterms:W3CDTF">2016-01-18T13:17:00Z</dcterms:created>
  <dcterms:modified xsi:type="dcterms:W3CDTF">2016-01-18T13:39:00Z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  <property fmtid="{D5CDD505-2E9C-101B-9397-08002B2CF9AE}" pid="4" name="ContentTypeId">
    <vt:lpwstr>0x01010066E3D1BD537B466A9FB4715B858074E900899E04623FB743D2ABDA955F9C2B667700BDE1E557D99C934AAF21072E049BB130</vt:lpwstr>
  </property>
  <property fmtid="{D5CDD505-2E9C-101B-9397-08002B2CF9AE}" pid="5" name="_AdHocReviewCycleID">
    <vt:i4>809965028</vt:i4>
  </property>
  <property fmtid="{D5CDD505-2E9C-101B-9397-08002B2CF9AE}" pid="6" name="_NewReviewCycle">
    <vt:lpwstr/>
  </property>
  <property fmtid="{D5CDD505-2E9C-101B-9397-08002B2CF9AE}" pid="7" name="_EmailSubject">
    <vt:lpwstr>Sous embargo jusqu'à lundi 18/01 08h45 -- Resco 2015 -- pour le ROV</vt:lpwstr>
  </property>
  <property fmtid="{D5CDD505-2E9C-101B-9397-08002B2CF9AE}" pid="8" name="_AuthorEmail">
    <vt:lpwstr>helene.mazier@renault.com</vt:lpwstr>
  </property>
  <property fmtid="{D5CDD505-2E9C-101B-9397-08002B2CF9AE}" pid="9" name="_AuthorEmailDisplayName">
    <vt:lpwstr>MAZIER Helene</vt:lpwstr>
  </property>
  <property fmtid="{D5CDD505-2E9C-101B-9397-08002B2CF9AE}" pid="10" name="_ReviewingToolsShownOnce">
    <vt:lpwstr/>
  </property>
</Properties>
</file>